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556"/>
        <w:gridCol w:w="652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49037998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0202431"/>
                <w:text w:multiLine="1"/>
              </w:sdtPr>
              <w:sdtEndPr/>
              <w:sdtContent>
                <w:r>
                  <w:rPr>
                    <w:rFonts w:ascii="Arial" w:hAnsi="Arial"/>
                    <w:b/>
                    <w:bCs/>
                    <w:rtl/>
                  </w:rPr>
                  <w:t>אביגדור דורות</w:t>
                </w:r>
              </w:sdtContent>
            </w:sdt>
          </w:p>
          <w:p w:rsidR="00694556" w:rsidRDefault="00694556">
            <w:pPr>
              <w:rPr>
                <w:rFonts w:ascii="Arial" w:hAnsi="Arial" w:cs="FrankRuehl"/>
                <w:sz w:val="28"/>
                <w:szCs w:val="28"/>
                <w:highlight w:val="yellow"/>
              </w:rPr>
            </w:pPr>
          </w:p>
        </w:tc>
      </w:tr>
      <w:tr w:rsidR="00694556" w:rsidTr="00D75FC1">
        <w:trPr>
          <w:jc w:val="center"/>
        </w:trPr>
        <w:tc>
          <w:tcPr>
            <w:tcW w:w="2299" w:type="dxa"/>
            <w:gridSpan w:val="2"/>
          </w:tcPr>
          <w:p w:rsidR="0034715B" w:rsidRPr="002D4A5A" w:rsidRDefault="005A4F2C" w:rsidP="00D75FC1">
            <w:pPr>
              <w:bidi w:val="0"/>
              <w:jc w:val="right"/>
              <w:rPr>
                <w:rFonts w:ascii="Arial" w:hAnsi="Arial"/>
                <w:b/>
                <w:bCs/>
                <w:noProof w:val="0"/>
                <w:sz w:val="26"/>
                <w:szCs w:val="26"/>
              </w:rPr>
            </w:pPr>
            <w:sdt>
              <w:sdtPr>
                <w:rPr>
                  <w:b/>
                  <w:bCs/>
                </w:rPr>
                <w:alias w:val="1180"/>
                <w:tag w:val="1180"/>
                <w:id w:val="-1095320858"/>
                <w:text w:multiLine="1"/>
              </w:sdtPr>
              <w:sdtEndPr/>
              <w:sdtContent>
                <w:r w:rsidR="00D75FC1">
                  <w:rPr>
                    <w:rFonts w:hint="cs"/>
                    <w:b/>
                    <w:bCs/>
                    <w:rtl/>
                  </w:rPr>
                  <w:t>המערער:</w:t>
                </w:r>
                <w:r w:rsidR="002D4A5A" w:rsidRPr="002D4A5A">
                  <w:rPr>
                    <w:rFonts w:hint="cs"/>
                    <w:b/>
                    <w:bCs/>
                    <w:rtl/>
                  </w:rPr>
                  <w:t xml:space="preserve"> </w:t>
                </w:r>
              </w:sdtContent>
            </w:sdt>
          </w:p>
        </w:tc>
        <w:tc>
          <w:tcPr>
            <w:tcW w:w="6521" w:type="dxa"/>
          </w:tcPr>
          <w:p w:rsidR="00694556" w:rsidRDefault="005A4F2C">
            <w:pPr>
              <w:rPr>
                <w:b/>
                <w:bCs/>
                <w:noProof w:val="0"/>
                <w:sz w:val="26"/>
                <w:szCs w:val="26"/>
              </w:rPr>
            </w:pPr>
            <w:sdt>
              <w:sdtPr>
                <w:rPr>
                  <w:rtl/>
                </w:rPr>
                <w:alias w:val="1478"/>
                <w:tag w:val="1478"/>
                <w:id w:val="406741000"/>
                <w:text w:multiLine="1"/>
              </w:sdtPr>
              <w:sdtEndPr/>
              <w:sdtContent>
                <w:r w:rsidR="00986101">
                  <w:rPr>
                    <w:rFonts w:ascii="Arial" w:hAnsi="Arial"/>
                    <w:b/>
                    <w:bCs/>
                    <w:noProof w:val="0"/>
                    <w:sz w:val="26"/>
                    <w:szCs w:val="26"/>
                    <w:rtl/>
                  </w:rPr>
                  <w:t>יהודה פרטוש</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rsidTr="00D75FC1">
        <w:trPr>
          <w:jc w:val="center"/>
        </w:trPr>
        <w:tc>
          <w:tcPr>
            <w:tcW w:w="2299" w:type="dxa"/>
            <w:gridSpan w:val="2"/>
          </w:tcPr>
          <w:p w:rsidR="00694556" w:rsidRDefault="00694556">
            <w:pPr>
              <w:rPr>
                <w:rFonts w:ascii="Arial" w:hAnsi="Arial"/>
                <w:b/>
                <w:bCs/>
                <w:noProof w:val="0"/>
                <w:sz w:val="26"/>
                <w:szCs w:val="26"/>
                <w:rtl/>
              </w:rPr>
            </w:pPr>
          </w:p>
          <w:p w:rsidR="00694556" w:rsidRDefault="005A4F2C" w:rsidP="002D4A5A">
            <w:pPr>
              <w:rPr>
                <w:rFonts w:ascii="Arial" w:hAnsi="Arial"/>
                <w:b/>
                <w:bCs/>
                <w:noProof w:val="0"/>
                <w:sz w:val="26"/>
                <w:szCs w:val="26"/>
              </w:rPr>
            </w:pPr>
            <w:sdt>
              <w:sdtPr>
                <w:rPr>
                  <w:b/>
                  <w:bCs/>
                  <w:rtl/>
                </w:rPr>
                <w:alias w:val="1184"/>
                <w:tag w:val="1184"/>
                <w:id w:val="-1990013329"/>
                <w:text w:multiLine="1"/>
              </w:sdtPr>
              <w:sdtEndPr/>
              <w:sdtContent>
                <w:r w:rsidR="002D4A5A" w:rsidRPr="002D4A5A">
                  <w:rPr>
                    <w:rFonts w:hint="cs"/>
                    <w:b/>
                    <w:bCs/>
                    <w:rtl/>
                  </w:rPr>
                  <w:t>המשיבה</w:t>
                </w:r>
                <w:r w:rsidR="00D75FC1">
                  <w:rPr>
                    <w:rFonts w:hint="cs"/>
                    <w:b/>
                    <w:bCs/>
                    <w:rtl/>
                  </w:rPr>
                  <w:t>:</w:t>
                </w:r>
                <w:r w:rsidR="002D4A5A" w:rsidRPr="002D4A5A">
                  <w:rPr>
                    <w:rFonts w:hint="cs"/>
                    <w:b/>
                    <w:bCs/>
                    <w:rtl/>
                  </w:rPr>
                  <w:t xml:space="preserve"> </w:t>
                </w:r>
              </w:sdtContent>
            </w:sdt>
          </w:p>
        </w:tc>
        <w:tc>
          <w:tcPr>
            <w:tcW w:w="6521" w:type="dxa"/>
          </w:tcPr>
          <w:p w:rsidR="00694556" w:rsidRDefault="00694556">
            <w:pPr>
              <w:rPr>
                <w:rFonts w:ascii="Arial" w:hAnsi="Arial"/>
                <w:b/>
                <w:bCs/>
                <w:noProof w:val="0"/>
                <w:sz w:val="26"/>
                <w:szCs w:val="26"/>
                <w:rtl/>
              </w:rPr>
            </w:pPr>
          </w:p>
          <w:p w:rsidR="00577A7A" w:rsidRPr="00D75FC1" w:rsidRDefault="005A4F2C" w:rsidP="00D75FC1">
            <w:pPr>
              <w:rPr>
                <w:rtl/>
              </w:rPr>
            </w:pPr>
            <w:sdt>
              <w:sdtPr>
                <w:rPr>
                  <w:rtl/>
                </w:rPr>
                <w:alias w:val="1486"/>
                <w:tag w:val="1486"/>
                <w:id w:val="93903891"/>
                <w:text w:multiLine="1"/>
              </w:sdtPr>
              <w:sdtEndPr/>
              <w:sdtContent>
                <w:r w:rsidR="002D4A5A">
                  <w:rPr>
                    <w:rFonts w:ascii="Arial" w:hAnsi="Arial" w:hint="cs"/>
                    <w:b/>
                    <w:bCs/>
                    <w:noProof w:val="0"/>
                    <w:sz w:val="26"/>
                    <w:szCs w:val="26"/>
                    <w:rtl/>
                  </w:rPr>
                  <w:t>הלשכה ל</w:t>
                </w:r>
                <w:r w:rsidR="00986101">
                  <w:rPr>
                    <w:rFonts w:ascii="Arial" w:hAnsi="Arial"/>
                    <w:b/>
                    <w:bCs/>
                    <w:noProof w:val="0"/>
                    <w:sz w:val="26"/>
                    <w:szCs w:val="26"/>
                    <w:rtl/>
                  </w:rPr>
                  <w:t>סיוע המשפטי - מחוז ירושלים</w:t>
                </w:r>
                <w:r w:rsidR="00D75FC1">
                  <w:rPr>
                    <w:rFonts w:ascii="Arial" w:hAnsi="Arial" w:hint="cs"/>
                    <w:b/>
                    <w:bCs/>
                    <w:noProof w:val="0"/>
                    <w:sz w:val="26"/>
                    <w:szCs w:val="26"/>
                    <w:rtl/>
                  </w:rPr>
                  <w:t>,</w:t>
                </w:r>
              </w:sdtContent>
            </w:sdt>
            <w:r w:rsidR="00D75FC1">
              <w:rPr>
                <w:rFonts w:hint="cs"/>
                <w:rtl/>
              </w:rPr>
              <w:t xml:space="preserve"> </w:t>
            </w:r>
            <w:r w:rsidR="00577A7A" w:rsidRPr="00D75FC1">
              <w:rPr>
                <w:rFonts w:hint="cs"/>
                <w:b/>
                <w:bCs/>
                <w:rtl/>
              </w:rPr>
              <w:t xml:space="preserve">משרד המשפטים </w:t>
            </w:r>
          </w:p>
          <w:p w:rsidR="00577A7A" w:rsidRDefault="00234B53" w:rsidP="002D4A5A">
            <w:pPr>
              <w:rPr>
                <w:b/>
                <w:bCs/>
                <w:noProof w:val="0"/>
                <w:sz w:val="26"/>
                <w:szCs w:val="26"/>
                <w:rtl/>
              </w:rPr>
            </w:pPr>
            <w:r>
              <w:rPr>
                <w:rFonts w:hint="cs"/>
                <w:rtl/>
              </w:rPr>
              <w:t>ע"י ב"כ עו"ד סהר הד</w:t>
            </w:r>
            <w:r w:rsidR="00577A7A" w:rsidRPr="00577A7A">
              <w:rPr>
                <w:rFonts w:hint="cs"/>
                <w:rtl/>
              </w:rPr>
              <w:t>ר</w:t>
            </w:r>
            <w:r w:rsidR="00577A7A">
              <w:rPr>
                <w:rFonts w:hint="cs"/>
                <w:b/>
                <w:bCs/>
                <w:rtl/>
              </w:rPr>
              <w:t xml:space="preserve"> </w:t>
            </w:r>
          </w:p>
        </w:tc>
      </w:tr>
    </w:tbl>
    <w:p w:rsidR="00694556" w:rsidRPr="002D4A5A"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C2AB8" w:rsidP="006C2AB8">
      <w:pPr>
        <w:spacing w:line="360" w:lineRule="auto"/>
        <w:jc w:val="both"/>
        <w:rPr>
          <w:rFonts w:ascii="Arial" w:hAnsi="Arial"/>
          <w:noProof w:val="0"/>
          <w:rtl/>
        </w:rPr>
      </w:pPr>
      <w:r>
        <w:rPr>
          <w:rFonts w:ascii="Arial" w:hAnsi="Arial" w:hint="cs"/>
          <w:noProof w:val="0"/>
          <w:rtl/>
        </w:rPr>
        <w:t>לפניי ערעור על החלטת לשכת הסיוע המשפטי במחוז ירושלים מיום 28.7.24, בגדרה נדחתה בקשת המערער לסיוע משפטי, בשל חוסר זכאות כל</w:t>
      </w:r>
      <w:r w:rsidR="00577A7A">
        <w:rPr>
          <w:rFonts w:ascii="Arial" w:hAnsi="Arial" w:hint="cs"/>
          <w:noProof w:val="0"/>
          <w:rtl/>
        </w:rPr>
        <w:t>כ</w:t>
      </w:r>
      <w:r>
        <w:rPr>
          <w:rFonts w:ascii="Arial" w:hAnsi="Arial" w:hint="cs"/>
          <w:noProof w:val="0"/>
          <w:rtl/>
        </w:rPr>
        <w:t xml:space="preserve">לית. </w:t>
      </w:r>
    </w:p>
    <w:p w:rsidR="006C2AB8" w:rsidRDefault="006C2AB8" w:rsidP="006C2AB8">
      <w:pPr>
        <w:spacing w:line="360" w:lineRule="auto"/>
        <w:jc w:val="both"/>
        <w:rPr>
          <w:rFonts w:ascii="Arial" w:hAnsi="Arial"/>
          <w:noProof w:val="0"/>
          <w:rtl/>
        </w:rPr>
      </w:pPr>
    </w:p>
    <w:p w:rsidR="006C2AB8" w:rsidRPr="006C2AB8" w:rsidRDefault="006C2AB8" w:rsidP="006C2AB8">
      <w:pPr>
        <w:spacing w:line="360" w:lineRule="auto"/>
        <w:jc w:val="both"/>
        <w:rPr>
          <w:rFonts w:ascii="Arial" w:hAnsi="Arial"/>
          <w:b/>
          <w:bCs/>
          <w:noProof w:val="0"/>
          <w:u w:val="single"/>
          <w:rtl/>
        </w:rPr>
      </w:pPr>
      <w:r w:rsidRPr="006C2AB8">
        <w:rPr>
          <w:rFonts w:ascii="Arial" w:hAnsi="Arial" w:hint="cs"/>
          <w:b/>
          <w:bCs/>
          <w:noProof w:val="0"/>
          <w:u w:val="single"/>
          <w:rtl/>
        </w:rPr>
        <w:t xml:space="preserve">רקע והליכים קודמים </w:t>
      </w:r>
    </w:p>
    <w:p w:rsidR="00694556" w:rsidRDefault="006C2AB8" w:rsidP="00577A7A">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בר</w:t>
      </w:r>
      <w:r w:rsidR="00577A7A">
        <w:rPr>
          <w:rFonts w:ascii="Arial" w:hAnsi="Arial" w:hint="cs"/>
          <w:noProof w:val="0"/>
          <w:rtl/>
        </w:rPr>
        <w:t>ק</w:t>
      </w:r>
      <w:r>
        <w:rPr>
          <w:rFonts w:ascii="Arial" w:hAnsi="Arial" w:hint="cs"/>
          <w:noProof w:val="0"/>
          <w:rtl/>
        </w:rPr>
        <w:t xml:space="preserve">ע הערעור, </w:t>
      </w:r>
      <w:r w:rsidR="00577A7A">
        <w:rPr>
          <w:rFonts w:ascii="Arial" w:hAnsi="Arial" w:hint="cs"/>
          <w:noProof w:val="0"/>
          <w:rtl/>
        </w:rPr>
        <w:t xml:space="preserve">כספים שהעביר </w:t>
      </w:r>
      <w:r w:rsidR="00D75FC1">
        <w:rPr>
          <w:rFonts w:ascii="Arial" w:hAnsi="Arial" w:hint="cs"/>
          <w:noProof w:val="0"/>
          <w:rtl/>
        </w:rPr>
        <w:t>המערער ל</w:t>
      </w:r>
      <w:r>
        <w:rPr>
          <w:rFonts w:ascii="Arial" w:hAnsi="Arial" w:hint="cs"/>
          <w:noProof w:val="0"/>
          <w:rtl/>
        </w:rPr>
        <w:t xml:space="preserve">אדם בשם דניאל שושן (להלן </w:t>
      </w:r>
      <w:r>
        <w:rPr>
          <w:rFonts w:ascii="Arial" w:hAnsi="Arial"/>
          <w:noProof w:val="0"/>
          <w:rtl/>
        </w:rPr>
        <w:t>–</w:t>
      </w:r>
      <w:r>
        <w:rPr>
          <w:rFonts w:ascii="Arial" w:hAnsi="Arial" w:hint="cs"/>
          <w:noProof w:val="0"/>
          <w:rtl/>
        </w:rPr>
        <w:t xml:space="preserve"> "</w:t>
      </w:r>
      <w:r w:rsidRPr="002D4A5A">
        <w:rPr>
          <w:rFonts w:ascii="Arial" w:hAnsi="Arial" w:hint="cs"/>
          <w:b/>
          <w:bCs/>
          <w:noProof w:val="0"/>
          <w:rtl/>
        </w:rPr>
        <w:t>החייב</w:t>
      </w:r>
      <w:r>
        <w:rPr>
          <w:rFonts w:ascii="Arial" w:hAnsi="Arial" w:hint="cs"/>
          <w:noProof w:val="0"/>
          <w:rtl/>
        </w:rPr>
        <w:t>")</w:t>
      </w:r>
      <w:r w:rsidR="00D75FC1">
        <w:rPr>
          <w:rFonts w:ascii="Arial" w:hAnsi="Arial" w:hint="cs"/>
          <w:noProof w:val="0"/>
          <w:rtl/>
        </w:rPr>
        <w:t xml:space="preserve"> </w:t>
      </w:r>
      <w:r>
        <w:rPr>
          <w:rFonts w:ascii="Arial" w:hAnsi="Arial" w:hint="cs"/>
          <w:noProof w:val="0"/>
          <w:rtl/>
        </w:rPr>
        <w:t>לפני שנים רבות. לאחר מחלוקת בין הצדדים בסוגיית החזר החוב למערער, פנו השניים להליכי בוררות בבית הדין לממונות "</w:t>
      </w:r>
      <w:r w:rsidRPr="001D59C2">
        <w:rPr>
          <w:rFonts w:ascii="Arial" w:hAnsi="Arial" w:hint="cs"/>
          <w:noProof w:val="0"/>
          <w:rtl/>
        </w:rPr>
        <w:t>מגיני ארץ</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2D4A5A">
        <w:rPr>
          <w:rFonts w:ascii="Arial" w:hAnsi="Arial" w:hint="cs"/>
          <w:b/>
          <w:bCs/>
          <w:noProof w:val="0"/>
          <w:rtl/>
        </w:rPr>
        <w:t>בית הדין</w:t>
      </w:r>
      <w:r>
        <w:rPr>
          <w:rFonts w:ascii="Arial" w:hAnsi="Arial" w:hint="cs"/>
          <w:noProof w:val="0"/>
          <w:rtl/>
        </w:rPr>
        <w:t xml:space="preserve">"). ביום 2.10.14 חויב החייב </w:t>
      </w:r>
      <w:r w:rsidR="00577A7A">
        <w:rPr>
          <w:rFonts w:ascii="Arial" w:hAnsi="Arial" w:hint="cs"/>
          <w:noProof w:val="0"/>
          <w:rtl/>
        </w:rPr>
        <w:t xml:space="preserve">על ידי בית הדין </w:t>
      </w:r>
      <w:r>
        <w:rPr>
          <w:rFonts w:ascii="Arial" w:hAnsi="Arial" w:hint="cs"/>
          <w:noProof w:val="0"/>
          <w:rtl/>
        </w:rPr>
        <w:t xml:space="preserve">לשלם למערער סך של 22,000 יורו. </w:t>
      </w:r>
    </w:p>
    <w:p w:rsidR="006C2AB8" w:rsidRDefault="006C2AB8" w:rsidP="006C2AB8">
      <w:pPr>
        <w:spacing w:line="360" w:lineRule="auto"/>
        <w:ind w:left="720" w:hanging="720"/>
        <w:jc w:val="both"/>
        <w:rPr>
          <w:rFonts w:ascii="Arial" w:hAnsi="Arial"/>
          <w:noProof w:val="0"/>
          <w:rtl/>
        </w:rPr>
      </w:pPr>
    </w:p>
    <w:p w:rsidR="006C2AB8" w:rsidRDefault="006C2AB8" w:rsidP="00577A7A">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ביום 2</w:t>
      </w:r>
      <w:r w:rsidR="00577A7A">
        <w:rPr>
          <w:rFonts w:ascii="Arial" w:hAnsi="Arial" w:hint="cs"/>
          <w:noProof w:val="0"/>
          <w:rtl/>
        </w:rPr>
        <w:t>7</w:t>
      </w:r>
      <w:r>
        <w:rPr>
          <w:rFonts w:ascii="Arial" w:hAnsi="Arial" w:hint="cs"/>
          <w:noProof w:val="0"/>
          <w:rtl/>
        </w:rPr>
        <w:t xml:space="preserve">.10.14 הגיש המערער לבית משפט זה בקשה לאישור פסק הבוררות וביום 22.1.15, משלא הוגשה התנגדות או בקשה לביטול  פסק הבוררות, ניתן פסק דין המאשר את פסק הבוררות (תיק הפ"ב 36363-09-14). </w:t>
      </w:r>
    </w:p>
    <w:p w:rsidR="006C2AB8" w:rsidRDefault="006C2AB8" w:rsidP="006C2AB8">
      <w:pPr>
        <w:spacing w:line="360" w:lineRule="auto"/>
        <w:ind w:left="720" w:hanging="720"/>
        <w:jc w:val="both"/>
        <w:rPr>
          <w:rFonts w:ascii="Arial" w:hAnsi="Arial"/>
          <w:noProof w:val="0"/>
          <w:rtl/>
        </w:rPr>
      </w:pPr>
    </w:p>
    <w:p w:rsidR="006C2AB8" w:rsidRDefault="006C2AB8" w:rsidP="006C2AB8">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ביום 4.2.20 הגיש החייב לבית משפט זה תביעה לביטול פסק הדין שניתן ביום 22.1.15 (ת"א 10631-02-20), אשר אישר את פסק הבוררות. בהליך הנ"ל יוצג המערער על ידי עו"ד עודד הכהן על פי מינוי לפי חוק הסיוע המשפטי, התשל"ב </w:t>
      </w:r>
      <w:r>
        <w:rPr>
          <w:rFonts w:ascii="Arial" w:hAnsi="Arial"/>
          <w:noProof w:val="0"/>
          <w:rtl/>
        </w:rPr>
        <w:t>–</w:t>
      </w:r>
      <w:r>
        <w:rPr>
          <w:rFonts w:ascii="Arial" w:hAnsi="Arial" w:hint="cs"/>
          <w:noProof w:val="0"/>
          <w:rtl/>
        </w:rPr>
        <w:t xml:space="preserve"> 1972 (להלן: "</w:t>
      </w:r>
      <w:r w:rsidRPr="002D4A5A">
        <w:rPr>
          <w:rFonts w:ascii="Arial" w:hAnsi="Arial" w:hint="cs"/>
          <w:b/>
          <w:bCs/>
          <w:noProof w:val="0"/>
          <w:rtl/>
        </w:rPr>
        <w:t>חוק הסיוע המשפטי</w:t>
      </w:r>
      <w:r>
        <w:rPr>
          <w:rFonts w:ascii="Arial" w:hAnsi="Arial" w:hint="cs"/>
          <w:noProof w:val="0"/>
          <w:rtl/>
        </w:rPr>
        <w:t xml:space="preserve">"). ביום 14.10.21 ניתן פסק דין בתובענה זו, על פיו נמחקה התביעה. </w:t>
      </w:r>
    </w:p>
    <w:p w:rsidR="006C2AB8" w:rsidRDefault="006C2AB8" w:rsidP="006C2AB8">
      <w:pPr>
        <w:spacing w:line="360" w:lineRule="auto"/>
        <w:ind w:left="720" w:hanging="720"/>
        <w:jc w:val="both"/>
        <w:rPr>
          <w:rFonts w:ascii="Arial" w:hAnsi="Arial"/>
          <w:noProof w:val="0"/>
          <w:rtl/>
        </w:rPr>
      </w:pPr>
    </w:p>
    <w:p w:rsidR="006C2AB8" w:rsidRDefault="006C2AB8" w:rsidP="00577A7A">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ביום 4.1.22 הגיש החייב</w:t>
      </w:r>
      <w:r w:rsidR="00577A7A">
        <w:rPr>
          <w:rFonts w:ascii="Arial" w:hAnsi="Arial" w:hint="cs"/>
          <w:noProof w:val="0"/>
          <w:rtl/>
        </w:rPr>
        <w:t xml:space="preserve"> </w:t>
      </w:r>
      <w:r>
        <w:rPr>
          <w:rFonts w:ascii="Arial" w:hAnsi="Arial" w:hint="cs"/>
          <w:noProof w:val="0"/>
          <w:rtl/>
        </w:rPr>
        <w:t>בקשה (בתיק הפ"ב 30574-10-14) להארכת מועד להגשת בקשה לביטול ההחלטה לאישור פסק הבוררות. ביום 27.2.22 הוגשה למזכירות ב</w:t>
      </w:r>
      <w:r w:rsidR="00577A7A">
        <w:rPr>
          <w:rFonts w:ascii="Arial" w:hAnsi="Arial" w:hint="cs"/>
          <w:noProof w:val="0"/>
          <w:rtl/>
        </w:rPr>
        <w:t>י</w:t>
      </w:r>
      <w:r>
        <w:rPr>
          <w:rFonts w:ascii="Arial" w:hAnsi="Arial" w:hint="cs"/>
          <w:noProof w:val="0"/>
          <w:rtl/>
        </w:rPr>
        <w:t xml:space="preserve">ת משפט זה בקשתו של עו"ד עודד הכהן לעדכן את החלפת ייצוג המערער, בה צוין כי עו"ד הכהן מונה כב"כ המערער (הנתבע בבקשת הביטול) מטעם </w:t>
      </w:r>
      <w:r w:rsidR="00183FF9">
        <w:rPr>
          <w:rFonts w:ascii="Arial" w:hAnsi="Arial" w:hint="cs"/>
          <w:noProof w:val="0"/>
          <w:rtl/>
        </w:rPr>
        <w:t xml:space="preserve">הסיוע המשפטי. ביום 3.7.22 ניתנה החלטה בבקשה, בה נקבע בפסקה 23 כדלקמן: "בנסיבות אלה, ולנוכח משך הארכה המתבקשת </w:t>
      </w:r>
      <w:r w:rsidR="00183FF9">
        <w:rPr>
          <w:rFonts w:ascii="Arial" w:hAnsi="Arial"/>
          <w:noProof w:val="0"/>
          <w:rtl/>
        </w:rPr>
        <w:t>–</w:t>
      </w:r>
      <w:r w:rsidR="00183FF9">
        <w:rPr>
          <w:rFonts w:ascii="Arial" w:hAnsi="Arial" w:hint="cs"/>
          <w:noProof w:val="0"/>
          <w:rtl/>
        </w:rPr>
        <w:t xml:space="preserve"> כ-</w:t>
      </w:r>
      <w:r w:rsidR="00183FF9">
        <w:rPr>
          <w:rFonts w:ascii="Arial" w:hAnsi="Arial" w:hint="cs"/>
          <w:noProof w:val="0"/>
          <w:rtl/>
        </w:rPr>
        <w:lastRenderedPageBreak/>
        <w:t xml:space="preserve">7 שנים, ובהעדר כל "טעם מיוחד" המצדיק את מתן הארכה יש לדחות את הבקשה". עוד נקבע בהחלטה כי החייב יישא בהוצאות המערער (המשיב בבקשה). </w:t>
      </w:r>
    </w:p>
    <w:p w:rsidR="00183FF9" w:rsidRDefault="00183FF9" w:rsidP="00183FF9">
      <w:pPr>
        <w:spacing w:line="360" w:lineRule="auto"/>
        <w:ind w:left="720" w:hanging="720"/>
        <w:jc w:val="both"/>
        <w:rPr>
          <w:rFonts w:ascii="Arial" w:hAnsi="Arial"/>
          <w:noProof w:val="0"/>
          <w:rtl/>
        </w:rPr>
      </w:pPr>
    </w:p>
    <w:p w:rsidR="00183FF9" w:rsidRDefault="00183FF9" w:rsidP="00183FF9">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המערער פתח בהליכי הוצל"פ נגד החייב כאשר סכום החוב המעודכן הוא 184,571 ₪ (תיק הוצל"פ 560310</w:t>
      </w:r>
      <w:r w:rsidR="00577A7A">
        <w:rPr>
          <w:rFonts w:ascii="Arial" w:hAnsi="Arial" w:hint="cs"/>
          <w:noProof w:val="0"/>
          <w:rtl/>
        </w:rPr>
        <w:t>-03-15</w:t>
      </w:r>
      <w:r>
        <w:rPr>
          <w:rFonts w:ascii="Arial" w:hAnsi="Arial" w:hint="cs"/>
          <w:noProof w:val="0"/>
          <w:rtl/>
        </w:rPr>
        <w:t xml:space="preserve">). </w:t>
      </w:r>
    </w:p>
    <w:p w:rsidR="00183FF9" w:rsidRDefault="00183FF9" w:rsidP="00183FF9">
      <w:pPr>
        <w:spacing w:line="360" w:lineRule="auto"/>
        <w:ind w:left="720" w:hanging="720"/>
        <w:jc w:val="both"/>
        <w:rPr>
          <w:rFonts w:ascii="Arial" w:hAnsi="Arial"/>
          <w:noProof w:val="0"/>
          <w:rtl/>
        </w:rPr>
      </w:pPr>
    </w:p>
    <w:p w:rsidR="00183FF9" w:rsidRDefault="00183FF9" w:rsidP="00183FF9">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בכתב הערעור צוין כי המערער הוא חירש ואילם וזהו גם מצבה של רעייתו. עוד צוין בכתב הערעור כי החייב נפטר לפני כשנה וידוע למערער כי למנוח הי</w:t>
      </w:r>
      <w:r w:rsidR="002D4A5A">
        <w:rPr>
          <w:rFonts w:ascii="Arial" w:hAnsi="Arial" w:hint="cs"/>
          <w:noProof w:val="0"/>
          <w:rtl/>
        </w:rPr>
        <w:t>י</w:t>
      </w:r>
      <w:r>
        <w:rPr>
          <w:rFonts w:ascii="Arial" w:hAnsi="Arial" w:hint="cs"/>
          <w:noProof w:val="0"/>
          <w:rtl/>
        </w:rPr>
        <w:t xml:space="preserve">תה דירה על שמו והוא מבקש לנקוט בהליכים לשם מימוש זכויות החייב בדירה, לצורך גביית החוב. </w:t>
      </w:r>
    </w:p>
    <w:p w:rsidR="00183FF9" w:rsidRPr="00183FF9" w:rsidRDefault="00183FF9" w:rsidP="00183FF9">
      <w:pPr>
        <w:spacing w:line="360" w:lineRule="auto"/>
        <w:ind w:left="720" w:hanging="720"/>
        <w:jc w:val="both"/>
        <w:rPr>
          <w:rFonts w:ascii="Arial" w:hAnsi="Arial"/>
          <w:b/>
          <w:bCs/>
          <w:noProof w:val="0"/>
          <w:u w:val="single"/>
          <w:rtl/>
        </w:rPr>
      </w:pPr>
    </w:p>
    <w:p w:rsidR="00183FF9" w:rsidRDefault="00183FF9" w:rsidP="00183FF9">
      <w:pPr>
        <w:spacing w:line="360" w:lineRule="auto"/>
        <w:ind w:left="720" w:hanging="720"/>
        <w:jc w:val="both"/>
        <w:rPr>
          <w:rFonts w:ascii="Arial" w:hAnsi="Arial"/>
          <w:noProof w:val="0"/>
          <w:rtl/>
        </w:rPr>
      </w:pPr>
      <w:r w:rsidRPr="00183FF9">
        <w:rPr>
          <w:rFonts w:ascii="Arial" w:hAnsi="Arial" w:hint="cs"/>
          <w:b/>
          <w:bCs/>
          <w:noProof w:val="0"/>
          <w:u w:val="single"/>
          <w:rtl/>
        </w:rPr>
        <w:t>טענות הצדדים</w:t>
      </w:r>
      <w:r>
        <w:rPr>
          <w:rFonts w:ascii="Arial" w:hAnsi="Arial" w:hint="cs"/>
          <w:noProof w:val="0"/>
          <w:rtl/>
        </w:rPr>
        <w:t xml:space="preserve"> </w:t>
      </w:r>
    </w:p>
    <w:p w:rsidR="00694556" w:rsidRDefault="00183FF9" w:rsidP="00183FF9">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במכתב המפרט את נימוקי הסירוב נכתב כי המערער אינו זכאי לסיוע משפטי מחמת חוסר זכאות כלכלית ועל כן בקשתו לקבלת סיוע משפטי נדחתה. </w:t>
      </w:r>
    </w:p>
    <w:p w:rsidR="00183FF9" w:rsidRDefault="00183FF9" w:rsidP="00183FF9">
      <w:pPr>
        <w:spacing w:line="360" w:lineRule="auto"/>
        <w:ind w:left="720" w:hanging="720"/>
        <w:jc w:val="both"/>
        <w:rPr>
          <w:rFonts w:ascii="Arial" w:hAnsi="Arial"/>
          <w:noProof w:val="0"/>
          <w:rtl/>
        </w:rPr>
      </w:pPr>
    </w:p>
    <w:p w:rsidR="00183FF9" w:rsidRDefault="00183FF9" w:rsidP="00577A7A">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נטען כי על </w:t>
      </w:r>
      <w:r w:rsidR="00577A7A">
        <w:rPr>
          <w:rFonts w:ascii="Arial" w:hAnsi="Arial" w:hint="cs"/>
          <w:noProof w:val="0"/>
          <w:rtl/>
        </w:rPr>
        <w:t xml:space="preserve">פי </w:t>
      </w:r>
      <w:r>
        <w:rPr>
          <w:rFonts w:ascii="Arial" w:hAnsi="Arial" w:hint="cs"/>
          <w:noProof w:val="0"/>
          <w:rtl/>
        </w:rPr>
        <w:t xml:space="preserve">תקנה 2(ב) לתקנות הסיוע המשפטי, התשל"ג </w:t>
      </w:r>
      <w:r>
        <w:rPr>
          <w:rFonts w:ascii="Arial" w:hAnsi="Arial"/>
          <w:noProof w:val="0"/>
          <w:rtl/>
        </w:rPr>
        <w:t>–</w:t>
      </w:r>
      <w:r>
        <w:rPr>
          <w:rFonts w:ascii="Arial" w:hAnsi="Arial" w:hint="cs"/>
          <w:noProof w:val="0"/>
          <w:rtl/>
        </w:rPr>
        <w:t xml:space="preserve"> </w:t>
      </w:r>
      <w:r w:rsidR="00577A7A">
        <w:rPr>
          <w:rFonts w:ascii="Arial" w:hAnsi="Arial" w:hint="cs"/>
          <w:noProof w:val="0"/>
          <w:rtl/>
        </w:rPr>
        <w:t>1</w:t>
      </w:r>
      <w:r>
        <w:rPr>
          <w:rFonts w:ascii="Arial" w:hAnsi="Arial" w:hint="cs"/>
          <w:noProof w:val="0"/>
          <w:rtl/>
        </w:rPr>
        <w:t>973 (להלן:  "</w:t>
      </w:r>
      <w:r w:rsidRPr="002D4A5A">
        <w:rPr>
          <w:rFonts w:ascii="Arial" w:hAnsi="Arial" w:hint="cs"/>
          <w:b/>
          <w:bCs/>
          <w:noProof w:val="0"/>
          <w:rtl/>
        </w:rPr>
        <w:t>התקנות</w:t>
      </w:r>
      <w:r>
        <w:rPr>
          <w:rFonts w:ascii="Arial" w:hAnsi="Arial" w:hint="cs"/>
          <w:noProof w:val="0"/>
          <w:rtl/>
        </w:rPr>
        <w:t>") הסך המרבי של ההכנסות החודשיות ברוטו המזכה משפחתה בת שלוש נפשות בסיוע משפטי הוא עד 8,3</w:t>
      </w:r>
      <w:r w:rsidR="00577A7A">
        <w:rPr>
          <w:rFonts w:ascii="Arial" w:hAnsi="Arial" w:hint="cs"/>
          <w:noProof w:val="0"/>
          <w:rtl/>
        </w:rPr>
        <w:t>9</w:t>
      </w:r>
      <w:r>
        <w:rPr>
          <w:rFonts w:ascii="Arial" w:hAnsi="Arial" w:hint="cs"/>
          <w:noProof w:val="0"/>
          <w:rtl/>
        </w:rPr>
        <w:t>9 ₪. אין מחלוקת כי ב</w:t>
      </w:r>
      <w:r w:rsidR="003360AB">
        <w:rPr>
          <w:rFonts w:ascii="Arial" w:hAnsi="Arial" w:hint="cs"/>
          <w:noProof w:val="0"/>
          <w:rtl/>
        </w:rPr>
        <w:t xml:space="preserve">התאם לתקנה 2 הנ"ל, יש לקחת בחשבון כל הכנסה הנחשבת כהכנסה החייבת במס הכנסה (ברוטו), לרבות קצבאות נכות וכן </w:t>
      </w:r>
      <w:r w:rsidR="00577A7A">
        <w:rPr>
          <w:rFonts w:ascii="Arial" w:hAnsi="Arial" w:hint="cs"/>
          <w:noProof w:val="0"/>
          <w:rtl/>
        </w:rPr>
        <w:t>א</w:t>
      </w:r>
      <w:r w:rsidR="003360AB">
        <w:rPr>
          <w:rFonts w:ascii="Arial" w:hAnsi="Arial" w:hint="cs"/>
          <w:noProof w:val="0"/>
          <w:rtl/>
        </w:rPr>
        <w:t xml:space="preserve">ין מחלוקת כי בכל התחומים בהם ניתן סיוע משפטי, למען סיוע בענייני משפחה, מחושבת הכנסתם המצטברת של כל בני המשפחה הסמוכים על שולחן אחד, כהכנסה של מבקש הסיוע המשפטי. </w:t>
      </w:r>
    </w:p>
    <w:p w:rsidR="003360AB" w:rsidRDefault="003360AB" w:rsidP="00183FF9">
      <w:pPr>
        <w:spacing w:line="360" w:lineRule="auto"/>
        <w:ind w:left="720" w:hanging="720"/>
        <w:jc w:val="both"/>
        <w:rPr>
          <w:rFonts w:ascii="Arial" w:hAnsi="Arial"/>
          <w:noProof w:val="0"/>
          <w:rtl/>
        </w:rPr>
      </w:pPr>
    </w:p>
    <w:p w:rsidR="003360AB" w:rsidRDefault="003360AB" w:rsidP="00577A7A">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המערער זכאי לקצבאות המוסד לביטוח לאומי לפי פרק ביטוח נכות. נקבעה לו נכות רפואית בשיעור </w:t>
      </w:r>
      <w:r w:rsidR="00577A7A">
        <w:rPr>
          <w:rFonts w:ascii="Arial" w:hAnsi="Arial" w:hint="cs"/>
          <w:noProof w:val="0"/>
          <w:rtl/>
        </w:rPr>
        <w:t>7</w:t>
      </w:r>
      <w:r>
        <w:rPr>
          <w:rFonts w:ascii="Arial" w:hAnsi="Arial" w:hint="cs"/>
          <w:noProof w:val="0"/>
          <w:rtl/>
        </w:rPr>
        <w:t>6% והוא מקבל קצבת נכות כללית בסך 4,291 ₪ לחודש ברוטו. גם רעייתו של המערער זכאית לקצבאות המוסד לביטוח לאומי לפי פרק נכות כללית. אחוז הנכות הרפואית שנקבעה לה הוא 79% וסכום הקצבה החודשית (ברוטו) הוא 4,291 ₪. בנוסף לכך, נכתב בכתב הערעור כי הביטוח הלאומי סייע למערער למצוא עבודה ולפי תלושי השכר שהוצגו, שכרו מחושב ל</w:t>
      </w:r>
      <w:r w:rsidR="00577A7A">
        <w:rPr>
          <w:rFonts w:ascii="Arial" w:hAnsi="Arial" w:hint="cs"/>
          <w:noProof w:val="0"/>
          <w:rtl/>
        </w:rPr>
        <w:t>פ</w:t>
      </w:r>
      <w:r>
        <w:rPr>
          <w:rFonts w:ascii="Arial" w:hAnsi="Arial" w:hint="cs"/>
          <w:noProof w:val="0"/>
          <w:rtl/>
        </w:rPr>
        <w:t>י שכר יסוד בסך 1,785 ₪ ונסי</w:t>
      </w:r>
      <w:r w:rsidR="00577A7A">
        <w:rPr>
          <w:rFonts w:ascii="Arial" w:hAnsi="Arial" w:hint="cs"/>
          <w:noProof w:val="0"/>
          <w:rtl/>
        </w:rPr>
        <w:t>ע</w:t>
      </w:r>
      <w:r>
        <w:rPr>
          <w:rFonts w:ascii="Arial" w:hAnsi="Arial" w:hint="cs"/>
          <w:noProof w:val="0"/>
          <w:rtl/>
        </w:rPr>
        <w:t>ות בסך 225 ₪. המשיבה מצאה כי הכנסת המערער מעבודתו מסתכמת לסך חודשי ממוצע של 2,000 ₪. לאור נתונים אלה, קבעה המשיבה כי ההכנסות הרלבנטיות לבדיקת הזכאות הכלכלית מסתכמות לסך חודש</w:t>
      </w:r>
      <w:r w:rsidR="00577A7A">
        <w:rPr>
          <w:rFonts w:ascii="Arial" w:hAnsi="Arial" w:hint="cs"/>
          <w:noProof w:val="0"/>
          <w:rtl/>
        </w:rPr>
        <w:t>י</w:t>
      </w:r>
      <w:r>
        <w:rPr>
          <w:rFonts w:ascii="Arial" w:hAnsi="Arial" w:hint="cs"/>
          <w:noProof w:val="0"/>
          <w:rtl/>
        </w:rPr>
        <w:t xml:space="preserve"> ממוצע של 10,582 ₪ ברוטו, העולה על </w:t>
      </w:r>
      <w:r w:rsidR="00577A7A">
        <w:rPr>
          <w:rFonts w:ascii="Arial" w:hAnsi="Arial" w:hint="cs"/>
          <w:noProof w:val="0"/>
          <w:rtl/>
        </w:rPr>
        <w:t>ר</w:t>
      </w:r>
      <w:r>
        <w:rPr>
          <w:rFonts w:ascii="Arial" w:hAnsi="Arial" w:hint="cs"/>
          <w:noProof w:val="0"/>
          <w:rtl/>
        </w:rPr>
        <w:t>ף הזכאות למשפחה של 1-3 נפשות, העומד על 8,399 ₪ (67% מהשכר הממוצע במשק). לנוכח ממצאים אלה</w:t>
      </w:r>
      <w:r w:rsidR="00577A7A">
        <w:rPr>
          <w:rFonts w:ascii="Arial" w:hAnsi="Arial" w:hint="cs"/>
          <w:noProof w:val="0"/>
          <w:rtl/>
        </w:rPr>
        <w:t>,</w:t>
      </w:r>
      <w:r>
        <w:rPr>
          <w:rFonts w:ascii="Arial" w:hAnsi="Arial" w:hint="cs"/>
          <w:noProof w:val="0"/>
          <w:rtl/>
        </w:rPr>
        <w:t xml:space="preserve"> קבעה המשיבה כי לאור החריגה מסף הזכאות הכלכלית בהתאם להוראות החוק והתקנות, המערער אינו זכאי לסיוע משפטי. </w:t>
      </w:r>
    </w:p>
    <w:p w:rsidR="003360AB" w:rsidRDefault="003360AB" w:rsidP="003360AB">
      <w:pPr>
        <w:spacing w:line="360" w:lineRule="auto"/>
        <w:ind w:left="720" w:hanging="720"/>
        <w:jc w:val="both"/>
        <w:rPr>
          <w:rFonts w:ascii="Arial" w:hAnsi="Arial"/>
          <w:noProof w:val="0"/>
          <w:rtl/>
        </w:rPr>
      </w:pPr>
    </w:p>
    <w:p w:rsidR="003360AB" w:rsidRDefault="003360AB" w:rsidP="003360AB">
      <w:pPr>
        <w:spacing w:line="360" w:lineRule="auto"/>
        <w:ind w:left="720" w:hanging="720"/>
        <w:jc w:val="both"/>
        <w:rPr>
          <w:rFonts w:ascii="Arial" w:hAnsi="Arial"/>
          <w:noProof w:val="0"/>
          <w:rtl/>
        </w:rPr>
      </w:pPr>
      <w:r>
        <w:rPr>
          <w:rFonts w:ascii="Arial" w:hAnsi="Arial" w:hint="cs"/>
          <w:noProof w:val="0"/>
          <w:rtl/>
        </w:rPr>
        <w:lastRenderedPageBreak/>
        <w:t>10.</w:t>
      </w:r>
      <w:r>
        <w:rPr>
          <w:rFonts w:ascii="Arial" w:hAnsi="Arial" w:hint="cs"/>
          <w:noProof w:val="0"/>
          <w:rtl/>
        </w:rPr>
        <w:tab/>
        <w:t xml:space="preserve">בנוסף, צוין במכתב ההסבר מטעם המשיבה כי בקשת המערער נדחתה בלא שהושלמה בדיקת הסיכוי המשפטי של פנייתו וכי אלמלא החריגה מסף הזכאות הכלכלית, היה מקום לשקול את שאלת הסיכוי המשפטי לפי סעיף 4 לחוק הסיוע המשפטי. </w:t>
      </w:r>
    </w:p>
    <w:p w:rsidR="003360AB" w:rsidRDefault="003360AB" w:rsidP="003360AB">
      <w:pPr>
        <w:spacing w:line="360" w:lineRule="auto"/>
        <w:ind w:left="720" w:hanging="720"/>
        <w:jc w:val="both"/>
        <w:rPr>
          <w:rFonts w:ascii="Arial" w:hAnsi="Arial"/>
          <w:noProof w:val="0"/>
          <w:rtl/>
        </w:rPr>
      </w:pPr>
    </w:p>
    <w:p w:rsidR="003360AB" w:rsidRDefault="003360AB" w:rsidP="003360AB">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המערער ציין בכתב הערעור את הדברים הבאים:</w:t>
      </w:r>
    </w:p>
    <w:p w:rsidR="003360AB" w:rsidRPr="001D4F05" w:rsidRDefault="003360AB" w:rsidP="001D4F05">
      <w:pPr>
        <w:spacing w:line="360" w:lineRule="auto"/>
        <w:ind w:left="1440"/>
        <w:jc w:val="both"/>
        <w:rPr>
          <w:rFonts w:ascii="Arial" w:hAnsi="Arial"/>
          <w:b/>
          <w:bCs/>
          <w:noProof w:val="0"/>
          <w:rtl/>
        </w:rPr>
      </w:pPr>
      <w:r w:rsidRPr="001D4F05">
        <w:rPr>
          <w:rFonts w:ascii="Arial" w:hAnsi="Arial" w:hint="cs"/>
          <w:b/>
          <w:bCs/>
          <w:noProof w:val="0"/>
          <w:rtl/>
        </w:rPr>
        <w:t>"אין באפשרותי לא כלכלית, לא מנטלית ולא שפתית למצות את הדין עם החייב ו/או עזבונו ללא הסיוע המש</w:t>
      </w:r>
      <w:r w:rsidR="001D4F05" w:rsidRPr="001D4F05">
        <w:rPr>
          <w:rFonts w:ascii="Arial" w:hAnsi="Arial" w:hint="cs"/>
          <w:b/>
          <w:bCs/>
          <w:noProof w:val="0"/>
          <w:rtl/>
        </w:rPr>
        <w:t>פטי. ללא סיוע אני מרים ידיים"</w:t>
      </w:r>
      <w:r w:rsidR="00577A7A">
        <w:rPr>
          <w:rFonts w:ascii="Arial" w:hAnsi="Arial" w:hint="cs"/>
          <w:b/>
          <w:bCs/>
          <w:noProof w:val="0"/>
          <w:rtl/>
        </w:rPr>
        <w:t>.</w:t>
      </w:r>
      <w:r w:rsidR="001D4F05" w:rsidRPr="001D4F05">
        <w:rPr>
          <w:rFonts w:ascii="Arial" w:hAnsi="Arial" w:hint="cs"/>
          <w:b/>
          <w:bCs/>
          <w:noProof w:val="0"/>
          <w:rtl/>
        </w:rPr>
        <w:t xml:space="preserve"> </w:t>
      </w:r>
    </w:p>
    <w:p w:rsidR="00694556" w:rsidRDefault="00694556">
      <w:pPr>
        <w:spacing w:line="360" w:lineRule="auto"/>
        <w:jc w:val="both"/>
        <w:rPr>
          <w:rFonts w:ascii="Arial" w:hAnsi="Arial"/>
          <w:noProof w:val="0"/>
          <w:rtl/>
        </w:rPr>
      </w:pPr>
    </w:p>
    <w:p w:rsidR="001D4F05" w:rsidRDefault="001D4F05" w:rsidP="001D4F05">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בדיון שהתקיים ביום 14.11.24 ייצגה את המערער בתו, אשר תרגמה את דבריו ואת דברי שאר הנוכחים בדיון לשפת הסימנים. </w:t>
      </w:r>
    </w:p>
    <w:p w:rsidR="00694556" w:rsidRDefault="00694556">
      <w:pPr>
        <w:spacing w:line="360" w:lineRule="auto"/>
        <w:jc w:val="both"/>
        <w:rPr>
          <w:rFonts w:ascii="Arial" w:hAnsi="Arial"/>
          <w:noProof w:val="0"/>
          <w:rtl/>
        </w:rPr>
      </w:pPr>
    </w:p>
    <w:p w:rsidR="001D4F05" w:rsidRPr="001D4F05" w:rsidRDefault="001D4F05">
      <w:pPr>
        <w:spacing w:line="360" w:lineRule="auto"/>
        <w:jc w:val="both"/>
        <w:rPr>
          <w:rFonts w:ascii="Arial" w:hAnsi="Arial"/>
          <w:b/>
          <w:bCs/>
          <w:noProof w:val="0"/>
          <w:u w:val="single"/>
          <w:rtl/>
        </w:rPr>
      </w:pPr>
      <w:r w:rsidRPr="001D4F05">
        <w:rPr>
          <w:rFonts w:ascii="Arial" w:hAnsi="Arial" w:hint="cs"/>
          <w:b/>
          <w:bCs/>
          <w:noProof w:val="0"/>
          <w:u w:val="single"/>
          <w:rtl/>
        </w:rPr>
        <w:t>דיון והכרעה</w:t>
      </w:r>
    </w:p>
    <w:p w:rsidR="00694556" w:rsidRDefault="001D4F05" w:rsidP="001D4F05">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לפי כתב ההגנה שהוגש מטעם המערער בבית משפט זה בת"א 10631-02-20, המערער העביר לחייב סכום של כ </w:t>
      </w:r>
      <w:r>
        <w:rPr>
          <w:rFonts w:ascii="Arial" w:hAnsi="Arial"/>
          <w:noProof w:val="0"/>
          <w:rtl/>
        </w:rPr>
        <w:t>–</w:t>
      </w:r>
      <w:r>
        <w:rPr>
          <w:rFonts w:ascii="Arial" w:hAnsi="Arial" w:hint="cs"/>
          <w:noProof w:val="0"/>
          <w:rtl/>
        </w:rPr>
        <w:t xml:space="preserve"> 40,000 יורו להשקעה שהוצעה לו על ידי החייב. נטעכן כי החייב לא השקיע את הכספים וסירב להחזירם למערער. עוד נטען בכתב ההגנה כי לאחר שנפתח כנגד החייב תיק בהוצאה לפועל, הגיע החייב בעצמו למשרדו של ב"כ המערער וביקש להגיע להסדר, מהלך שלא עלה יפה. </w:t>
      </w:r>
    </w:p>
    <w:p w:rsidR="001D4F05" w:rsidRDefault="001D4F05" w:rsidP="001D4F05">
      <w:pPr>
        <w:spacing w:line="360" w:lineRule="auto"/>
        <w:ind w:left="720" w:hanging="720"/>
        <w:jc w:val="both"/>
        <w:rPr>
          <w:rFonts w:ascii="Arial" w:hAnsi="Arial"/>
          <w:noProof w:val="0"/>
          <w:rtl/>
        </w:rPr>
      </w:pPr>
    </w:p>
    <w:p w:rsidR="001D4F05" w:rsidRDefault="001D4F05" w:rsidP="00577A7A">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בפסק הדין שניתן על ידי בית מ</w:t>
      </w:r>
      <w:r w:rsidR="00577A7A">
        <w:rPr>
          <w:rFonts w:ascii="Arial" w:hAnsi="Arial" w:hint="cs"/>
          <w:noProof w:val="0"/>
          <w:rtl/>
        </w:rPr>
        <w:t>ש</w:t>
      </w:r>
      <w:r>
        <w:rPr>
          <w:rFonts w:ascii="Arial" w:hAnsi="Arial" w:hint="cs"/>
          <w:noProof w:val="0"/>
          <w:rtl/>
        </w:rPr>
        <w:t xml:space="preserve">פט זה (כב' השופטת מ' שידלובסקי-אור) בע"ש 1076/02 </w:t>
      </w:r>
      <w:r>
        <w:rPr>
          <w:rFonts w:ascii="Arial" w:hAnsi="Arial" w:hint="cs"/>
          <w:b/>
          <w:bCs/>
          <w:noProof w:val="0"/>
          <w:rtl/>
        </w:rPr>
        <w:t>דינה יהודה נ' ראשת לשכת הסיוע המשפטי מחוז ירושלים</w:t>
      </w:r>
      <w:r>
        <w:rPr>
          <w:rFonts w:ascii="Arial" w:hAnsi="Arial" w:hint="cs"/>
          <w:noProof w:val="0"/>
          <w:rtl/>
        </w:rPr>
        <w:t xml:space="preserve"> (2.3.2003), צוין כי חוק יסוד: כבוד האדם וחירותו קובע כי זכות הגישה לערכאות היא זכות חוקתית במשפטנו והוכרה השפעתו של חוק היסוד גם על זכויות דיוניות, לרבות זכות הייצוג. עוד צוין בפסק הדין כי החירות לשכור את שירותיו של מייצג אינה מסייעת לאדם שאין ידו משגת לשלם את העלות הכלכלית הכרוכה בקבלת שירותים משפטיים. בפסקה 8 לפסק הדין נאמרו הדברים הבאים: </w:t>
      </w:r>
    </w:p>
    <w:p w:rsidR="001D4F05" w:rsidRDefault="001D4F05" w:rsidP="001D4F05">
      <w:pPr>
        <w:spacing w:line="360" w:lineRule="auto"/>
        <w:ind w:left="720" w:hanging="720"/>
        <w:jc w:val="both"/>
        <w:rPr>
          <w:rFonts w:ascii="Arial" w:hAnsi="Arial"/>
          <w:noProof w:val="0"/>
          <w:rtl/>
        </w:rPr>
      </w:pPr>
    </w:p>
    <w:p w:rsidR="001D4F05" w:rsidRPr="00184F55" w:rsidRDefault="001D4F05" w:rsidP="00577A7A">
      <w:pPr>
        <w:spacing w:line="360" w:lineRule="auto"/>
        <w:ind w:left="1440"/>
        <w:jc w:val="both"/>
        <w:rPr>
          <w:rFonts w:ascii="Arial" w:hAnsi="Arial"/>
          <w:b/>
          <w:bCs/>
          <w:noProof w:val="0"/>
          <w:rtl/>
        </w:rPr>
      </w:pPr>
      <w:r w:rsidRPr="00184F55">
        <w:rPr>
          <w:rFonts w:ascii="Arial" w:hAnsi="Arial" w:hint="cs"/>
          <w:b/>
          <w:bCs/>
          <w:noProof w:val="0"/>
          <w:rtl/>
        </w:rPr>
        <w:t>"מכוח</w:t>
      </w:r>
      <w:r w:rsidR="00577A7A">
        <w:rPr>
          <w:rFonts w:ascii="Arial" w:hAnsi="Arial" w:hint="cs"/>
          <w:b/>
          <w:bCs/>
          <w:noProof w:val="0"/>
          <w:rtl/>
        </w:rPr>
        <w:t>ן</w:t>
      </w:r>
      <w:r w:rsidRPr="00184F55">
        <w:rPr>
          <w:rFonts w:ascii="Arial" w:hAnsi="Arial" w:hint="cs"/>
          <w:b/>
          <w:bCs/>
          <w:noProof w:val="0"/>
          <w:rtl/>
        </w:rPr>
        <w:t xml:space="preserve"> של זכויות אלו מוטלת על השלטון החובה הפוזיטיבית להעניק לאדם הרוצה לפנות לבית המשפט כלים למימוש הזכות לפנות לערכאות על מנת להגן על כבודו ועל קניינו. לאור תפיסה זו מעמי</w:t>
      </w:r>
      <w:r w:rsidR="00184F55" w:rsidRPr="00184F55">
        <w:rPr>
          <w:rFonts w:ascii="Arial" w:hAnsi="Arial" w:hint="cs"/>
          <w:b/>
          <w:bCs/>
          <w:noProof w:val="0"/>
          <w:rtl/>
        </w:rPr>
        <w:t>ד</w:t>
      </w:r>
      <w:r w:rsidRPr="00184F55">
        <w:rPr>
          <w:rFonts w:ascii="Arial" w:hAnsi="Arial" w:hint="cs"/>
          <w:b/>
          <w:bCs/>
          <w:noProof w:val="0"/>
          <w:rtl/>
        </w:rPr>
        <w:t xml:space="preserve"> החוק בישראל לרשות האזרח, </w:t>
      </w:r>
      <w:r w:rsidR="00184F55" w:rsidRPr="00184F55">
        <w:rPr>
          <w:rFonts w:ascii="Arial" w:hAnsi="Arial" w:hint="cs"/>
          <w:b/>
          <w:bCs/>
          <w:noProof w:val="0"/>
          <w:rtl/>
        </w:rPr>
        <w:t xml:space="preserve">מייצג במימון המדינה. זאת, עת </w:t>
      </w:r>
      <w:r w:rsidR="00577A7A">
        <w:rPr>
          <w:rFonts w:ascii="Arial" w:hAnsi="Arial" w:hint="cs"/>
          <w:b/>
          <w:bCs/>
          <w:noProof w:val="0"/>
          <w:rtl/>
        </w:rPr>
        <w:t>ה</w:t>
      </w:r>
      <w:r w:rsidR="00184F55" w:rsidRPr="00184F55">
        <w:rPr>
          <w:rFonts w:ascii="Arial" w:hAnsi="Arial" w:hint="cs"/>
          <w:b/>
          <w:bCs/>
          <w:noProof w:val="0"/>
          <w:rtl/>
        </w:rPr>
        <w:t xml:space="preserve">נסיבות מלמדות, שאם הרשויות לא תעמדנה לרשותו את הכלים להגנה, עלולות זכויותיו הבסיסיות להיפגע באופן מהותי. </w:t>
      </w:r>
    </w:p>
    <w:p w:rsidR="00184F55" w:rsidRPr="00184F55" w:rsidRDefault="00184F55" w:rsidP="00184F55">
      <w:pPr>
        <w:spacing w:line="360" w:lineRule="auto"/>
        <w:ind w:left="1440"/>
        <w:jc w:val="both"/>
        <w:rPr>
          <w:rFonts w:ascii="Arial" w:hAnsi="Arial"/>
          <w:b/>
          <w:bCs/>
          <w:noProof w:val="0"/>
          <w:rtl/>
        </w:rPr>
      </w:pPr>
    </w:p>
    <w:p w:rsidR="00184F55" w:rsidRPr="00184F55" w:rsidRDefault="00184F55" w:rsidP="00184F55">
      <w:pPr>
        <w:spacing w:line="360" w:lineRule="auto"/>
        <w:ind w:left="1440"/>
        <w:jc w:val="both"/>
        <w:rPr>
          <w:rFonts w:ascii="Arial" w:hAnsi="Arial"/>
          <w:b/>
          <w:bCs/>
          <w:noProof w:val="0"/>
          <w:rtl/>
        </w:rPr>
      </w:pPr>
      <w:r w:rsidRPr="00184F55">
        <w:rPr>
          <w:rFonts w:ascii="Arial" w:hAnsi="Arial" w:hint="cs"/>
          <w:b/>
          <w:bCs/>
          <w:noProof w:val="0"/>
          <w:rtl/>
        </w:rPr>
        <w:t>במישור האזרחי מסדיר את הייצוג במימון המדינה חוק הסיוע המשפטי אולם היקפו של חוק זה מצומצם למדי, והזכות לקבלת סעד על פיו מוגבלת, כאמור, על ידי התקנות"</w:t>
      </w:r>
      <w:r w:rsidR="00577A7A">
        <w:rPr>
          <w:rFonts w:ascii="Arial" w:hAnsi="Arial" w:hint="cs"/>
          <w:b/>
          <w:bCs/>
          <w:noProof w:val="0"/>
          <w:rtl/>
        </w:rPr>
        <w:t>.</w:t>
      </w:r>
    </w:p>
    <w:p w:rsidR="001D4F05" w:rsidRDefault="001D4F05" w:rsidP="001D4F05">
      <w:pPr>
        <w:spacing w:line="360" w:lineRule="auto"/>
        <w:ind w:left="720" w:hanging="720"/>
        <w:jc w:val="both"/>
        <w:rPr>
          <w:rFonts w:ascii="Arial" w:hAnsi="Arial"/>
          <w:noProof w:val="0"/>
          <w:rtl/>
        </w:rPr>
      </w:pPr>
    </w:p>
    <w:p w:rsidR="001D4F05" w:rsidRDefault="00184F55" w:rsidP="002879F2">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 xml:space="preserve">ברע"א 6353/19 </w:t>
      </w:r>
      <w:r>
        <w:rPr>
          <w:rFonts w:ascii="Arial" w:hAnsi="Arial" w:hint="cs"/>
          <w:b/>
          <w:bCs/>
          <w:noProof w:val="0"/>
          <w:rtl/>
        </w:rPr>
        <w:t>אנטולי לשצ</w:t>
      </w:r>
      <w:r w:rsidR="00577A7A">
        <w:rPr>
          <w:rFonts w:ascii="Arial" w:hAnsi="Arial" w:hint="cs"/>
          <w:b/>
          <w:bCs/>
          <w:noProof w:val="0"/>
          <w:rtl/>
        </w:rPr>
        <w:t>'</w:t>
      </w:r>
      <w:r>
        <w:rPr>
          <w:rFonts w:ascii="Arial" w:hAnsi="Arial" w:hint="cs"/>
          <w:b/>
          <w:bCs/>
          <w:noProof w:val="0"/>
          <w:rtl/>
        </w:rPr>
        <w:t xml:space="preserve">נקו נ' כונס הנכסים הרשמי </w:t>
      </w:r>
      <w:r>
        <w:rPr>
          <w:rFonts w:ascii="Arial" w:hAnsi="Arial" w:hint="cs"/>
          <w:noProof w:val="0"/>
          <w:rtl/>
        </w:rPr>
        <w:t xml:space="preserve">(11.2.2020) התייחס בית המשפט העליון לסעיף 303 לחוק הביטוח הלאומי [נוסח משולב], תשנ"ה </w:t>
      </w:r>
      <w:r>
        <w:rPr>
          <w:rFonts w:ascii="Arial" w:hAnsi="Arial"/>
          <w:noProof w:val="0"/>
          <w:rtl/>
        </w:rPr>
        <w:t>–</w:t>
      </w:r>
      <w:r>
        <w:rPr>
          <w:rFonts w:ascii="Arial" w:hAnsi="Arial" w:hint="cs"/>
          <w:noProof w:val="0"/>
          <w:rtl/>
        </w:rPr>
        <w:t xml:space="preserve"> 1995 (להלן: "</w:t>
      </w:r>
      <w:r w:rsidRPr="00F7431D">
        <w:rPr>
          <w:rFonts w:ascii="Arial" w:hAnsi="Arial" w:hint="cs"/>
          <w:b/>
          <w:bCs/>
          <w:noProof w:val="0"/>
          <w:rtl/>
        </w:rPr>
        <w:t>חוק הביטוח הלאומי</w:t>
      </w:r>
      <w:r>
        <w:rPr>
          <w:rFonts w:ascii="Arial" w:hAnsi="Arial" w:hint="cs"/>
          <w:noProof w:val="0"/>
          <w:rtl/>
        </w:rPr>
        <w:t xml:space="preserve">") הקובע כי זכות לגמלת כסף אינה ניתנת להעברה, לערבות או לעיקול בכל דרך שהיא (אלא לשם תשלום מזונות) ועמד על תכליתה של הגמלה </w:t>
      </w:r>
      <w:r>
        <w:rPr>
          <w:rFonts w:ascii="Arial" w:hAnsi="Arial"/>
          <w:noProof w:val="0"/>
          <w:rtl/>
        </w:rPr>
        <w:t>–</w:t>
      </w:r>
      <w:r>
        <w:rPr>
          <w:rFonts w:ascii="Arial" w:hAnsi="Arial" w:hint="cs"/>
          <w:noProof w:val="0"/>
          <w:rtl/>
        </w:rPr>
        <w:t xml:space="preserve"> שהיא להבטיח את צורכי מחייתו המינימליים של הזכאי, לספק לו אמצעי קיום בסיסיים (פסקה 16). במקרה שלפניי, ברור כי תשלום לעו"ד פרטי לשם גביית החוב, יפגע בתכלית הקצבאות, המהוות כ- 81% מההכנסה הכוללת של המשפחה.</w:t>
      </w:r>
      <w:r w:rsidR="002879F2">
        <w:rPr>
          <w:rFonts w:ascii="Arial" w:hAnsi="Arial" w:hint="cs"/>
          <w:noProof w:val="0"/>
          <w:rtl/>
        </w:rPr>
        <w:t xml:space="preserve"> מחד,</w:t>
      </w:r>
      <w:r>
        <w:rPr>
          <w:rFonts w:ascii="Arial" w:hAnsi="Arial" w:hint="cs"/>
          <w:noProof w:val="0"/>
          <w:rtl/>
        </w:rPr>
        <w:t xml:space="preserve"> רכישת שירותי עריכת דין בשוק הפרטי לשם גביית החוב, לאחר 10 שנים של התדיינות מול החייב, תפגע בתכלי</w:t>
      </w:r>
      <w:r w:rsidR="005A331B">
        <w:rPr>
          <w:rFonts w:ascii="Arial" w:hAnsi="Arial" w:hint="cs"/>
          <w:noProof w:val="0"/>
          <w:rtl/>
        </w:rPr>
        <w:t xml:space="preserve">ת הקצבאות </w:t>
      </w:r>
      <w:r w:rsidR="002879F2">
        <w:rPr>
          <w:rFonts w:ascii="Arial" w:hAnsi="Arial" w:hint="cs"/>
          <w:noProof w:val="0"/>
          <w:rtl/>
        </w:rPr>
        <w:t>ומאידך</w:t>
      </w:r>
      <w:r w:rsidR="005A331B">
        <w:rPr>
          <w:rFonts w:ascii="Arial" w:hAnsi="Arial" w:hint="cs"/>
          <w:noProof w:val="0"/>
          <w:rtl/>
        </w:rPr>
        <w:t xml:space="preserve">, דחיית הבקשה לסיוע משפטי תגרום לכך שמאמץ מתמשך וניהול שלושה הליכים משפטיים </w:t>
      </w:r>
      <w:r w:rsidR="002879F2">
        <w:rPr>
          <w:rFonts w:ascii="Arial" w:hAnsi="Arial" w:hint="cs"/>
          <w:noProof w:val="0"/>
          <w:rtl/>
        </w:rPr>
        <w:t xml:space="preserve">בין שנת 2014 לשנת 2022 </w:t>
      </w:r>
      <w:r w:rsidR="005A331B">
        <w:rPr>
          <w:rFonts w:ascii="Arial" w:hAnsi="Arial" w:hint="cs"/>
          <w:noProof w:val="0"/>
          <w:rtl/>
        </w:rPr>
        <w:t xml:space="preserve">לשם גביית החוב, ירדו לטמיון. </w:t>
      </w:r>
    </w:p>
    <w:p w:rsidR="00184F55" w:rsidRDefault="00184F55" w:rsidP="00184F55">
      <w:pPr>
        <w:spacing w:line="360" w:lineRule="auto"/>
        <w:ind w:left="720" w:hanging="720"/>
        <w:jc w:val="both"/>
        <w:rPr>
          <w:rFonts w:ascii="Arial" w:hAnsi="Arial"/>
          <w:noProof w:val="0"/>
          <w:rtl/>
        </w:rPr>
      </w:pPr>
    </w:p>
    <w:p w:rsidR="005A331B" w:rsidRDefault="005A331B" w:rsidP="005A331B">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בענייננו מתקיימים המערער ורעייתו בעיקר מקצבת נכות כללית, בסך מצטבר של 8,582 ₪, כאשר הסכום הנוסף (כ </w:t>
      </w:r>
      <w:r>
        <w:rPr>
          <w:rFonts w:ascii="Arial" w:hAnsi="Arial"/>
          <w:noProof w:val="0"/>
          <w:rtl/>
        </w:rPr>
        <w:t>–</w:t>
      </w:r>
      <w:r>
        <w:rPr>
          <w:rFonts w:ascii="Arial" w:hAnsi="Arial" w:hint="cs"/>
          <w:noProof w:val="0"/>
          <w:rtl/>
        </w:rPr>
        <w:t xml:space="preserve"> 2,000 ₪), מתקבל מעבודה שעובד סוציאלי שיקומי של המוסד לביטוח לאומי דאג להשתלבות המערער בה, בכדי שתהיה לו תעסוקה כלשהי. </w:t>
      </w:r>
      <w:r w:rsidR="002879F2">
        <w:rPr>
          <w:rFonts w:ascii="Arial" w:hAnsi="Arial" w:hint="cs"/>
          <w:noProof w:val="0"/>
          <w:rtl/>
        </w:rPr>
        <w:t xml:space="preserve">בניגוד למקרים אחרים של מבקשי סיוע משפטי, </w:t>
      </w:r>
      <w:r>
        <w:rPr>
          <w:rFonts w:ascii="Arial" w:hAnsi="Arial" w:hint="cs"/>
          <w:noProof w:val="0"/>
          <w:rtl/>
        </w:rPr>
        <w:t xml:space="preserve">לנוכח היות המערער ורעייתו חרשים ואילמים, ברור שאין באפשרותם (מבחינה מעשית) לייצג את עצמם בהליך המשפטי שנועד לאפשר להם לגבות את החוב שבו מדובר. </w:t>
      </w:r>
    </w:p>
    <w:p w:rsidR="005A331B" w:rsidRDefault="005A331B" w:rsidP="005A331B">
      <w:pPr>
        <w:spacing w:line="360" w:lineRule="auto"/>
        <w:ind w:left="720" w:hanging="720"/>
        <w:jc w:val="both"/>
        <w:rPr>
          <w:rFonts w:ascii="Arial" w:hAnsi="Arial"/>
          <w:noProof w:val="0"/>
          <w:rtl/>
        </w:rPr>
      </w:pPr>
    </w:p>
    <w:p w:rsidR="005A331B" w:rsidRDefault="005A331B" w:rsidP="005A331B">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הן בהליך שהתנהל בשנים 2020-2021 (ת"א 10631-02-20) בבית משפט זה והן בהליך שהתנהל בשנת 2022 (הפ"ב 30574-10-14) יוצג המערער על ידי עו"ד שמונה כבא כוחו מטעם הסיוע המשפטי. נושא הייצוג (</w:t>
      </w:r>
      <w:r w:rsidR="002879F2">
        <w:rPr>
          <w:rFonts w:ascii="Arial" w:hAnsi="Arial" w:hint="cs"/>
          <w:noProof w:val="0"/>
          <w:rtl/>
        </w:rPr>
        <w:t xml:space="preserve">גביית </w:t>
      </w:r>
      <w:r>
        <w:rPr>
          <w:rFonts w:ascii="Arial" w:hAnsi="Arial" w:hint="cs"/>
          <w:noProof w:val="0"/>
          <w:rtl/>
        </w:rPr>
        <w:t xml:space="preserve">חובו של החייב המנוח למערער) הינו זהה לנושא הייצוג בהליך זה. מדובר למעשה בהמשך ההליכים שבהם יוצג המערער על ידי עורך דין </w:t>
      </w:r>
      <w:r w:rsidR="002879F2">
        <w:rPr>
          <w:rFonts w:ascii="Arial" w:hAnsi="Arial" w:hint="cs"/>
          <w:noProof w:val="0"/>
          <w:rtl/>
        </w:rPr>
        <w:t xml:space="preserve">שמונה </w:t>
      </w:r>
      <w:r>
        <w:rPr>
          <w:rFonts w:ascii="Arial" w:hAnsi="Arial" w:hint="cs"/>
          <w:noProof w:val="0"/>
          <w:rtl/>
        </w:rPr>
        <w:t xml:space="preserve">מטעם המשיבה. </w:t>
      </w:r>
    </w:p>
    <w:p w:rsidR="00234B53" w:rsidRDefault="00234B53" w:rsidP="005A331B">
      <w:pPr>
        <w:spacing w:line="360" w:lineRule="auto"/>
        <w:ind w:left="720" w:hanging="720"/>
        <w:jc w:val="both"/>
        <w:rPr>
          <w:rFonts w:ascii="Arial" w:hAnsi="Arial"/>
          <w:noProof w:val="0"/>
          <w:rtl/>
        </w:rPr>
      </w:pPr>
    </w:p>
    <w:p w:rsidR="00234B53" w:rsidRDefault="00234B53" w:rsidP="001D59C2">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ביום 19.11.</w:t>
      </w:r>
      <w:r w:rsidR="007754CA">
        <w:rPr>
          <w:rFonts w:ascii="Arial" w:hAnsi="Arial" w:hint="cs"/>
          <w:noProof w:val="0"/>
          <w:rtl/>
        </w:rPr>
        <w:t>24</w:t>
      </w:r>
      <w:r>
        <w:rPr>
          <w:rFonts w:ascii="Arial" w:hAnsi="Arial" w:hint="cs"/>
          <w:noProof w:val="0"/>
          <w:rtl/>
        </w:rPr>
        <w:t xml:space="preserve"> הגישה המשיבה הודעה, בהתאם להחלטה מיום הדיון בערעור, בגדרה הובהרה ההחלטה </w:t>
      </w:r>
      <w:r w:rsidR="001D59C2">
        <w:rPr>
          <w:rFonts w:ascii="Arial" w:hAnsi="Arial" w:hint="cs"/>
          <w:noProof w:val="0"/>
          <w:rtl/>
        </w:rPr>
        <w:t xml:space="preserve">מחודש יולי 2020 </w:t>
      </w:r>
      <w:r>
        <w:rPr>
          <w:rFonts w:ascii="Arial" w:hAnsi="Arial" w:hint="cs"/>
          <w:noProof w:val="0"/>
          <w:rtl/>
        </w:rPr>
        <w:t>לאשר את בקשת המערער לקבלת סיוע משפטי, בנוגע לתביעת החייב נגד המערער לביטול פסק הדין, אשר אישר את פסק הבוררות</w:t>
      </w:r>
      <w:r w:rsidR="001D59C2">
        <w:rPr>
          <w:rFonts w:ascii="Arial" w:hAnsi="Arial" w:hint="cs"/>
          <w:noProof w:val="0"/>
          <w:rtl/>
        </w:rPr>
        <w:t xml:space="preserve"> (ההליך שנזכר לעיל בפסקה</w:t>
      </w:r>
      <w:r w:rsidR="00DE5D82">
        <w:rPr>
          <w:rFonts w:ascii="Arial" w:hAnsi="Arial" w:hint="cs"/>
          <w:noProof w:val="0"/>
          <w:rtl/>
        </w:rPr>
        <w:t xml:space="preserve"> 3)</w:t>
      </w:r>
      <w:r>
        <w:rPr>
          <w:rFonts w:ascii="Arial" w:hAnsi="Arial" w:hint="cs"/>
          <w:noProof w:val="0"/>
          <w:rtl/>
        </w:rPr>
        <w:t xml:space="preserve">. בהודעה נכתב, כי הסיוע המשפטי אושר על יסוד הנתונים שמסר המערער ביחס למספר הנפשות הסמוכות על שולחנו (ארבע נפשות) וגובה הכנסותיו (קצבת ביטוח לאומי בסך 4,600, ₪ ושכר עבודה בסך 3,000 ₪). נמצא אז שסך ההכנסות למשפחה בת ארבע נפשות היה נמוך מהסף המזכה </w:t>
      </w:r>
      <w:r w:rsidR="001D59C2">
        <w:rPr>
          <w:rFonts w:ascii="Arial" w:hAnsi="Arial" w:hint="cs"/>
          <w:noProof w:val="0"/>
          <w:rtl/>
        </w:rPr>
        <w:t xml:space="preserve">(באותה עת) </w:t>
      </w:r>
      <w:r>
        <w:rPr>
          <w:rFonts w:ascii="Arial" w:hAnsi="Arial" w:hint="cs"/>
          <w:noProof w:val="0"/>
          <w:rtl/>
        </w:rPr>
        <w:t xml:space="preserve">בסיוע משפטי (7,953 ₪). הודעת המשיבה לא התייחסה להחלטה לאשר את בקשת המערער </w:t>
      </w:r>
      <w:r w:rsidR="001D59C2">
        <w:rPr>
          <w:rFonts w:ascii="Arial" w:hAnsi="Arial" w:hint="cs"/>
          <w:noProof w:val="0"/>
          <w:rtl/>
        </w:rPr>
        <w:t xml:space="preserve">מחודש פברואר 2022 </w:t>
      </w:r>
      <w:r>
        <w:rPr>
          <w:rFonts w:ascii="Arial" w:hAnsi="Arial" w:hint="cs"/>
          <w:noProof w:val="0"/>
          <w:rtl/>
        </w:rPr>
        <w:t xml:space="preserve">לקבלת סיוע משפטי, בנוגע לבקשת </w:t>
      </w:r>
      <w:r>
        <w:rPr>
          <w:rFonts w:ascii="Arial" w:hAnsi="Arial" w:hint="cs"/>
          <w:noProof w:val="0"/>
          <w:rtl/>
        </w:rPr>
        <w:lastRenderedPageBreak/>
        <w:t xml:space="preserve">החייב להארכת מועד להגשת בקשה לביטול ההחלטה לאישור פסק הבוררות (ההליך שנזכר לעיל בפסקה 4). </w:t>
      </w:r>
    </w:p>
    <w:p w:rsidR="00DE5D82" w:rsidRDefault="00DE5D82" w:rsidP="001D59C2">
      <w:pPr>
        <w:spacing w:line="360" w:lineRule="auto"/>
        <w:ind w:left="720" w:hanging="720"/>
        <w:jc w:val="both"/>
        <w:rPr>
          <w:rFonts w:ascii="Arial" w:hAnsi="Arial"/>
          <w:noProof w:val="0"/>
          <w:rtl/>
        </w:rPr>
      </w:pPr>
    </w:p>
    <w:p w:rsidR="005A331B" w:rsidRDefault="00234B53" w:rsidP="00DE5D82">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r>
      <w:r w:rsidR="005A331B">
        <w:rPr>
          <w:rFonts w:ascii="Arial" w:hAnsi="Arial" w:hint="cs"/>
          <w:noProof w:val="0"/>
          <w:rtl/>
        </w:rPr>
        <w:t xml:space="preserve">בנסיבות אלה, נראית בעיני עמדת המשיבה </w:t>
      </w:r>
      <w:r>
        <w:rPr>
          <w:rFonts w:ascii="Arial" w:hAnsi="Arial" w:hint="cs"/>
          <w:noProof w:val="0"/>
          <w:rtl/>
        </w:rPr>
        <w:t>מחודש יולי 20</w:t>
      </w:r>
      <w:r w:rsidR="00DE5D82">
        <w:rPr>
          <w:rFonts w:ascii="Arial" w:hAnsi="Arial" w:hint="cs"/>
          <w:noProof w:val="0"/>
          <w:rtl/>
        </w:rPr>
        <w:t>2</w:t>
      </w:r>
      <w:r>
        <w:rPr>
          <w:rFonts w:ascii="Arial" w:hAnsi="Arial" w:hint="cs"/>
          <w:noProof w:val="0"/>
          <w:rtl/>
        </w:rPr>
        <w:t xml:space="preserve">4 </w:t>
      </w:r>
      <w:r w:rsidR="005A331B">
        <w:rPr>
          <w:rFonts w:ascii="Arial" w:hAnsi="Arial" w:hint="cs"/>
          <w:noProof w:val="0"/>
          <w:rtl/>
        </w:rPr>
        <w:t>בלתי סבירה, באופן שמצדיק להתערב בה. המערער החל לנקוט בהליכים לגביית החוב מן החייב (</w:t>
      </w:r>
      <w:r w:rsidR="002879F2">
        <w:rPr>
          <w:rFonts w:ascii="Arial" w:hAnsi="Arial" w:hint="cs"/>
          <w:noProof w:val="0"/>
          <w:rtl/>
        </w:rPr>
        <w:t>המנוח</w:t>
      </w:r>
      <w:r w:rsidR="005A331B">
        <w:rPr>
          <w:rFonts w:ascii="Arial" w:hAnsi="Arial" w:hint="cs"/>
          <w:noProof w:val="0"/>
          <w:rtl/>
        </w:rPr>
        <w:t>) בשנת 2014 ויוצג ב</w:t>
      </w:r>
      <w:r w:rsidR="00DE5D82">
        <w:rPr>
          <w:rFonts w:ascii="Arial" w:hAnsi="Arial" w:hint="cs"/>
          <w:noProof w:val="0"/>
          <w:rtl/>
        </w:rPr>
        <w:t>שנים 2020-2022 ב</w:t>
      </w:r>
      <w:r>
        <w:rPr>
          <w:rFonts w:ascii="Arial" w:hAnsi="Arial" w:hint="cs"/>
          <w:noProof w:val="0"/>
          <w:rtl/>
        </w:rPr>
        <w:t xml:space="preserve">שני </w:t>
      </w:r>
      <w:r w:rsidR="005A331B">
        <w:rPr>
          <w:rFonts w:ascii="Arial" w:hAnsi="Arial" w:hint="cs"/>
          <w:noProof w:val="0"/>
          <w:rtl/>
        </w:rPr>
        <w:t>הליכים מול החייב</w:t>
      </w:r>
      <w:r w:rsidR="00DE5D82">
        <w:rPr>
          <w:rFonts w:ascii="Arial" w:hAnsi="Arial" w:hint="cs"/>
          <w:noProof w:val="0"/>
          <w:rtl/>
        </w:rPr>
        <w:t>,</w:t>
      </w:r>
      <w:r w:rsidR="005A331B">
        <w:rPr>
          <w:rFonts w:ascii="Arial" w:hAnsi="Arial" w:hint="cs"/>
          <w:noProof w:val="0"/>
          <w:rtl/>
        </w:rPr>
        <w:t xml:space="preserve"> על ידי עורך דין </w:t>
      </w:r>
      <w:r w:rsidR="002879F2">
        <w:rPr>
          <w:rFonts w:ascii="Arial" w:hAnsi="Arial" w:hint="cs"/>
          <w:noProof w:val="0"/>
          <w:rtl/>
        </w:rPr>
        <w:t xml:space="preserve">שמונה </w:t>
      </w:r>
      <w:r w:rsidR="005A331B">
        <w:rPr>
          <w:rFonts w:ascii="Arial" w:hAnsi="Arial" w:hint="cs"/>
          <w:noProof w:val="0"/>
          <w:rtl/>
        </w:rPr>
        <w:t>מטעם הסיוע המשפטי. באותן שנים וגם כיום התקיימו המערער ורעייתו מקצב</w:t>
      </w:r>
      <w:r w:rsidR="002D4A5A">
        <w:rPr>
          <w:rFonts w:ascii="Arial" w:hAnsi="Arial" w:hint="cs"/>
          <w:noProof w:val="0"/>
          <w:rtl/>
        </w:rPr>
        <w:t>א</w:t>
      </w:r>
      <w:r w:rsidR="005A331B">
        <w:rPr>
          <w:rFonts w:ascii="Arial" w:hAnsi="Arial" w:hint="cs"/>
          <w:noProof w:val="0"/>
          <w:rtl/>
        </w:rPr>
        <w:t xml:space="preserve">ות נכות כללית, עקב הלקויות בשמיעה ובדיבור. הפנייה הנוכחית נוגעת לאותו עניין בו אושר למערער </w:t>
      </w:r>
      <w:r w:rsidR="002D4A5A">
        <w:rPr>
          <w:rFonts w:ascii="Arial" w:hAnsi="Arial" w:hint="cs"/>
          <w:noProof w:val="0"/>
          <w:rtl/>
        </w:rPr>
        <w:t xml:space="preserve">פעמיים קבלת סיוע משפטי ומשום כך, החלטת המשיבה תגרום לכך שכל </w:t>
      </w:r>
      <w:r w:rsidR="00D75FC1">
        <w:rPr>
          <w:rFonts w:ascii="Arial" w:hAnsi="Arial" w:hint="cs"/>
          <w:noProof w:val="0"/>
          <w:rtl/>
        </w:rPr>
        <w:t xml:space="preserve">העבודה שהושקעה במהלך </w:t>
      </w:r>
      <w:r w:rsidR="002D4A5A">
        <w:rPr>
          <w:rFonts w:ascii="Arial" w:hAnsi="Arial" w:hint="cs"/>
          <w:noProof w:val="0"/>
          <w:rtl/>
        </w:rPr>
        <w:t xml:space="preserve">ההליכים הנ"ל </w:t>
      </w:r>
      <w:r w:rsidR="00D75FC1">
        <w:rPr>
          <w:rFonts w:ascii="Arial" w:hAnsi="Arial" w:hint="cs"/>
          <w:noProof w:val="0"/>
          <w:rtl/>
        </w:rPr>
        <w:t>תרד</w:t>
      </w:r>
      <w:r>
        <w:rPr>
          <w:rFonts w:ascii="Arial" w:hAnsi="Arial" w:hint="cs"/>
          <w:noProof w:val="0"/>
          <w:rtl/>
        </w:rPr>
        <w:t xml:space="preserve"> לטמיון, הליכים שנוהלו במימון הקופה </w:t>
      </w:r>
      <w:r w:rsidR="007754CA">
        <w:rPr>
          <w:rFonts w:ascii="Arial" w:hAnsi="Arial" w:hint="cs"/>
          <w:noProof w:val="0"/>
          <w:rtl/>
        </w:rPr>
        <w:t xml:space="preserve">הציבורית. </w:t>
      </w:r>
    </w:p>
    <w:p w:rsidR="002D4A5A" w:rsidRDefault="002D4A5A" w:rsidP="002D4A5A">
      <w:pPr>
        <w:spacing w:line="360" w:lineRule="auto"/>
        <w:ind w:left="720" w:hanging="720"/>
        <w:jc w:val="both"/>
        <w:rPr>
          <w:rFonts w:ascii="Arial" w:hAnsi="Arial"/>
          <w:noProof w:val="0"/>
          <w:rtl/>
        </w:rPr>
      </w:pPr>
    </w:p>
    <w:p w:rsidR="002D4A5A" w:rsidRDefault="007754CA" w:rsidP="002D4A5A">
      <w:pPr>
        <w:spacing w:line="360" w:lineRule="auto"/>
        <w:ind w:left="720" w:hanging="720"/>
        <w:jc w:val="both"/>
        <w:rPr>
          <w:rFonts w:ascii="Arial" w:hAnsi="Arial"/>
          <w:noProof w:val="0"/>
          <w:rtl/>
        </w:rPr>
      </w:pPr>
      <w:r>
        <w:rPr>
          <w:rFonts w:ascii="Arial" w:hAnsi="Arial" w:hint="cs"/>
          <w:noProof w:val="0"/>
          <w:rtl/>
        </w:rPr>
        <w:t>20</w:t>
      </w:r>
      <w:r w:rsidR="002D4A5A">
        <w:rPr>
          <w:rFonts w:ascii="Arial" w:hAnsi="Arial" w:hint="cs"/>
          <w:noProof w:val="0"/>
          <w:rtl/>
        </w:rPr>
        <w:t>.</w:t>
      </w:r>
      <w:r w:rsidR="002D4A5A">
        <w:rPr>
          <w:rFonts w:ascii="Arial" w:hAnsi="Arial" w:hint="cs"/>
          <w:noProof w:val="0"/>
          <w:rtl/>
        </w:rPr>
        <w:tab/>
        <w:t xml:space="preserve">לאור כל האמור לעיל, אני מקבל את הערעור </w:t>
      </w:r>
      <w:r w:rsidR="00DE5D82">
        <w:rPr>
          <w:rFonts w:ascii="Arial" w:hAnsi="Arial" w:hint="cs"/>
          <w:noProof w:val="0"/>
          <w:rtl/>
        </w:rPr>
        <w:t xml:space="preserve">(אשר התייחס להחלטת המשיבה ביחס למבחן הזכאות הכלכלית) </w:t>
      </w:r>
      <w:r w:rsidR="002D4A5A">
        <w:rPr>
          <w:rFonts w:ascii="Arial" w:hAnsi="Arial" w:hint="cs"/>
          <w:noProof w:val="0"/>
          <w:rtl/>
        </w:rPr>
        <w:t xml:space="preserve">ומורה למשיבה לבחון את שאלת הסיכוי המשפטי, לפי סעיף 4 לחוק הסיוע המשפטי, על פיו יינתן הסיוע רק אם יימצא כי לבקשה סיכוי משפטי להתקבל. </w:t>
      </w:r>
      <w:r w:rsidR="00D75FC1">
        <w:rPr>
          <w:rFonts w:ascii="Arial" w:hAnsi="Arial" w:hint="cs"/>
          <w:noProof w:val="0"/>
          <w:rtl/>
        </w:rPr>
        <w:t xml:space="preserve">על המשיבה לקבל, אפוא, החלטה חדשה, </w:t>
      </w:r>
      <w:r>
        <w:rPr>
          <w:rFonts w:ascii="Arial" w:hAnsi="Arial" w:hint="cs"/>
          <w:noProof w:val="0"/>
          <w:rtl/>
        </w:rPr>
        <w:t>בבקשת המערער</w:t>
      </w:r>
      <w:r w:rsidR="00C8528F">
        <w:rPr>
          <w:rFonts w:ascii="Arial" w:hAnsi="Arial" w:hint="cs"/>
          <w:noProof w:val="0"/>
          <w:rtl/>
        </w:rPr>
        <w:t xml:space="preserve"> לקבלת הסיוע</w:t>
      </w:r>
      <w:r>
        <w:rPr>
          <w:rFonts w:ascii="Arial" w:hAnsi="Arial" w:hint="cs"/>
          <w:noProof w:val="0"/>
          <w:rtl/>
        </w:rPr>
        <w:t xml:space="preserve">, </w:t>
      </w:r>
      <w:r w:rsidR="00D75FC1">
        <w:rPr>
          <w:rFonts w:ascii="Arial" w:hAnsi="Arial" w:hint="cs"/>
          <w:noProof w:val="0"/>
          <w:rtl/>
        </w:rPr>
        <w:t>על בסיס בחינת הסיכוי המשפטי.</w:t>
      </w:r>
    </w:p>
    <w:p w:rsidR="002D4A5A" w:rsidRDefault="002D4A5A" w:rsidP="002D4A5A">
      <w:pPr>
        <w:spacing w:line="360" w:lineRule="auto"/>
        <w:ind w:left="720" w:hanging="720"/>
        <w:jc w:val="both"/>
        <w:rPr>
          <w:rFonts w:ascii="Arial" w:hAnsi="Arial"/>
          <w:noProof w:val="0"/>
          <w:rtl/>
        </w:rPr>
      </w:pPr>
    </w:p>
    <w:p w:rsidR="002D4A5A" w:rsidRPr="002879F2" w:rsidRDefault="002D4A5A" w:rsidP="002D4A5A">
      <w:pPr>
        <w:spacing w:line="360" w:lineRule="auto"/>
        <w:ind w:left="720" w:hanging="720"/>
        <w:jc w:val="both"/>
        <w:rPr>
          <w:rFonts w:ascii="Arial" w:hAnsi="Arial"/>
          <w:b/>
          <w:bCs/>
          <w:noProof w:val="0"/>
          <w:rtl/>
        </w:rPr>
      </w:pPr>
      <w:r w:rsidRPr="002879F2">
        <w:rPr>
          <w:rFonts w:ascii="Arial" w:hAnsi="Arial" w:hint="cs"/>
          <w:b/>
          <w:bCs/>
          <w:noProof w:val="0"/>
          <w:rtl/>
        </w:rPr>
        <w:t xml:space="preserve">המזכירות תמציא את פסק הדין לצדדים. </w:t>
      </w:r>
    </w:p>
    <w:p w:rsidR="002D4A5A" w:rsidRDefault="002D4A5A">
      <w:pPr>
        <w:spacing w:line="360" w:lineRule="auto"/>
        <w:jc w:val="both"/>
        <w:rPr>
          <w:rFonts w:ascii="Arial" w:hAnsi="Arial"/>
          <w:noProof w:val="0"/>
          <w:rtl/>
        </w:rPr>
      </w:pPr>
    </w:p>
    <w:p w:rsidR="00694556" w:rsidRDefault="00005C8B" w:rsidP="007754C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noProof w:val="0"/>
              <w:rtl/>
            </w:rPr>
            <w:t>י"ט חשוון תשפ"ה</w:t>
          </w:r>
        </w:sdtContent>
      </w:sdt>
      <w:r>
        <w:rPr>
          <w:rFonts w:ascii="Arial" w:hAnsi="Arial"/>
          <w:noProof w:val="0"/>
          <w:rtl/>
        </w:rPr>
        <w:t xml:space="preserve">, </w:t>
      </w:r>
      <w:sdt>
        <w:sdtPr>
          <w:rPr>
            <w:rtl/>
          </w:rPr>
          <w:alias w:val="1456"/>
          <w:tag w:val="1456"/>
          <w:id w:val="1108006587"/>
          <w:text w:multiLine="1"/>
        </w:sdtPr>
        <w:sdtEndPr/>
        <w:sdtContent>
          <w:r>
            <w:rPr>
              <w:rFonts w:ascii="Arial" w:hAnsi="Arial" w:hint="cs"/>
              <w:noProof w:val="0"/>
              <w:rtl/>
            </w:rPr>
            <w:t>20 נובמבר 2024</w:t>
          </w:r>
        </w:sdtContent>
      </w:sdt>
      <w:r>
        <w:rPr>
          <w:rFonts w:ascii="Arial" w:hAnsi="Arial"/>
          <w:noProof w:val="0"/>
          <w:rtl/>
        </w:rPr>
        <w:t>, בהעדר הצדדים.</w:t>
      </w:r>
    </w:p>
    <w:p w:rsidR="002879F2" w:rsidRDefault="002879F2" w:rsidP="002879F2">
      <w:pPr>
        <w:spacing w:line="360" w:lineRule="auto"/>
        <w:jc w:val="both"/>
        <w:rPr>
          <w:rFonts w:ascii="Arial" w:hAnsi="Arial"/>
          <w:b/>
          <w:bCs/>
        </w:rPr>
      </w:pPr>
      <w:r>
        <w:rPr>
          <w:rFonts w:ascii="Arial" w:hAnsi="Arial" w:hint="cs"/>
          <w:noProof w:val="0"/>
          <w:rtl/>
        </w:rPr>
        <w:t xml:space="preserve">   </w:t>
      </w:r>
    </w:p>
    <w:tbl>
      <w:tblPr>
        <w:tblStyle w:val="a9"/>
        <w:tblpPr w:leftFromText="180" w:rightFromText="180" w:vertAnchor="text" w:horzAnchor="margin" w:tblpY="15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2879F2" w:rsidTr="001042B8">
        <w:trPr>
          <w:trHeight w:val="992"/>
        </w:trPr>
        <w:tc>
          <w:tcPr>
            <w:tcW w:w="2962" w:type="dxa"/>
            <w:tcBorders>
              <w:top w:val="nil"/>
              <w:left w:val="nil"/>
              <w:bottom w:val="single" w:sz="4" w:space="0" w:color="auto"/>
              <w:right w:val="nil"/>
            </w:tcBorders>
            <w:vAlign w:val="center"/>
            <w:hideMark/>
          </w:tcPr>
          <w:p w:rsidR="002879F2" w:rsidRDefault="002879F2">
            <w:pPr>
              <w:jc w:val="center"/>
              <w:rPr>
                <w:rFonts w:ascii="Courier New" w:hAnsi="Courier New"/>
                <w:b/>
                <w:bCs/>
                <w:rtl/>
              </w:rPr>
            </w:pPr>
            <w:r>
              <w:rPr>
                <w:rFonts w:ascii="Courier New" w:hAnsi="Courier New"/>
                <w:b/>
                <w:bCs/>
              </w:rPr>
              <w:drawing>
                <wp:inline distT="0" distB="0" distL="0" distR="0">
                  <wp:extent cx="1517650" cy="565150"/>
                  <wp:effectExtent l="0" t="0" r="6350"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7650" cy="565150"/>
                          </a:xfrm>
                          <a:prstGeom prst="rect">
                            <a:avLst/>
                          </a:prstGeom>
                          <a:noFill/>
                          <a:ln>
                            <a:noFill/>
                          </a:ln>
                        </pic:spPr>
                      </pic:pic>
                    </a:graphicData>
                  </a:graphic>
                </wp:inline>
              </w:drawing>
            </w:r>
          </w:p>
        </w:tc>
      </w:tr>
      <w:tr w:rsidR="002879F2" w:rsidTr="001042B8">
        <w:tc>
          <w:tcPr>
            <w:tcW w:w="2962" w:type="dxa"/>
            <w:tcBorders>
              <w:top w:val="single" w:sz="4" w:space="0" w:color="auto"/>
              <w:left w:val="nil"/>
              <w:bottom w:val="nil"/>
              <w:right w:val="nil"/>
            </w:tcBorders>
            <w:vAlign w:val="bottom"/>
            <w:hideMark/>
          </w:tcPr>
          <w:p w:rsidR="002879F2" w:rsidRDefault="002879F2">
            <w:pPr>
              <w:spacing w:before="120" w:after="120"/>
              <w:jc w:val="center"/>
              <w:rPr>
                <w:rFonts w:ascii="Courier New" w:hAnsi="Courier New"/>
                <w:b/>
                <w:bCs/>
              </w:rPr>
            </w:pPr>
            <w:r>
              <w:rPr>
                <w:rFonts w:ascii="Courier New" w:hAnsi="Courier New"/>
                <w:b/>
                <w:bCs/>
                <w:rtl/>
              </w:rPr>
              <w:t>אביגדור דורות, שופט</w:t>
            </w:r>
          </w:p>
        </w:tc>
      </w:tr>
    </w:tbl>
    <w:p w:rsidR="002879F2" w:rsidRDefault="002879F2" w:rsidP="001042B8">
      <w:pPr>
        <w:tabs>
          <w:tab w:val="left" w:pos="2553"/>
        </w:tabs>
        <w:rPr>
          <w:rFonts w:ascii="Arial" w:hAnsi="Arial"/>
        </w:rPr>
      </w:pPr>
    </w:p>
    <w:p w:rsidR="002879F2" w:rsidRDefault="002879F2" w:rsidP="001042B8">
      <w:pPr>
        <w:rPr>
          <w:rtl/>
        </w:rPr>
      </w:pPr>
    </w:p>
    <w:p w:rsidR="002879F2" w:rsidRDefault="002879F2" w:rsidP="001042B8">
      <w:pPr>
        <w:rPr>
          <w:rtl/>
        </w:rPr>
      </w:pPr>
    </w:p>
    <w:p w:rsidR="002879F2" w:rsidRDefault="002879F2" w:rsidP="001042B8">
      <w:pPr>
        <w:tabs>
          <w:tab w:val="left" w:pos="2553"/>
        </w:tabs>
        <w:rPr>
          <w:rFonts w:ascii="Arial" w:hAnsi="Arial"/>
        </w:rPr>
      </w:pPr>
    </w:p>
    <w:p w:rsidR="002879F2" w:rsidRDefault="002879F2" w:rsidP="001042B8">
      <w:pPr>
        <w:tabs>
          <w:tab w:val="left" w:pos="2553"/>
        </w:tabs>
        <w:rPr>
          <w:rFonts w:ascii="Arial" w:hAnsi="Arial"/>
          <w:rtl/>
        </w:rPr>
      </w:pPr>
    </w:p>
    <w:p w:rsidR="002879F2" w:rsidRPr="001042B8" w:rsidRDefault="002879F2" w:rsidP="001042B8"/>
    <w:p w:rsidR="002879F2" w:rsidRDefault="002879F2">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F2C" w:rsidRDefault="005A4F2C">
      <w:r>
        <w:separator/>
      </w:r>
    </w:p>
  </w:endnote>
  <w:endnote w:type="continuationSeparator" w:id="0">
    <w:p w:rsidR="005A4F2C" w:rsidRDefault="005A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DB8" w:rsidRDefault="00185D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9406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94063">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DB8" w:rsidRDefault="00185D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F2C" w:rsidRDefault="005A4F2C">
      <w:r>
        <w:separator/>
      </w:r>
    </w:p>
  </w:footnote>
  <w:footnote w:type="continuationSeparator" w:id="0">
    <w:p w:rsidR="005A4F2C" w:rsidRDefault="005A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DB8" w:rsidRDefault="00185D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rsidTr="00577A7A">
      <w:trPr>
        <w:trHeight w:hRule="exact" w:val="851"/>
        <w:jc w:val="center"/>
      </w:trPr>
      <w:tc>
        <w:tcPr>
          <w:tcW w:w="8721" w:type="dxa"/>
          <w:gridSpan w:val="2"/>
        </w:tcPr>
        <w:p w:rsidR="00694556" w:rsidRDefault="00185DB8">
          <w:pPr>
            <w:pStyle w:val="a3"/>
            <w:jc w:val="center"/>
            <w:rPr>
              <w:rFonts w:ascii="Tahoma" w:hAnsi="Tahoma" w:cs="Tahoma"/>
              <w:b/>
              <w:bCs/>
              <w:noProof w:val="0"/>
              <w:color w:val="000080"/>
              <w:rtl/>
            </w:rPr>
          </w:pPr>
          <w:r>
            <w:rPr>
              <w:rFonts w:ascii="Tahoma" w:hAnsi="Tahoma" w:cs="Tahoma" w:hint="cs"/>
              <w:b/>
              <w:bCs/>
              <w:noProof w:val="0"/>
              <w:color w:val="000080"/>
              <w:rtl/>
            </w:rPr>
            <w:t>בית המשפט המחוזי בירושלים</w:t>
          </w:r>
        </w:p>
        <w:p w:rsidR="00577A7A" w:rsidRPr="00577A7A" w:rsidRDefault="00577A7A" w:rsidP="00577A7A">
          <w:pPr>
            <w:pStyle w:val="a3"/>
            <w:jc w:val="center"/>
            <w:rPr>
              <w:rFonts w:ascii="Tahoma" w:hAnsi="Tahoma" w:cs="Tahoma"/>
              <w:b/>
              <w:bCs/>
              <w:noProof w:val="0"/>
              <w:color w:val="000080"/>
              <w:rtl/>
            </w:rPr>
          </w:pPr>
          <w:r w:rsidRPr="00577A7A">
            <w:rPr>
              <w:rFonts w:ascii="Tahoma" w:hAnsi="Tahoma" w:cs="Tahoma" w:hint="cs"/>
              <w:b/>
              <w:bCs/>
              <w:noProof w:val="0"/>
              <w:color w:val="000080"/>
              <w:rtl/>
            </w:rPr>
            <w:t>בשבתו כבי</w:t>
          </w:r>
          <w:r>
            <w:rPr>
              <w:rFonts w:ascii="Tahoma" w:hAnsi="Tahoma" w:cs="Tahoma" w:hint="cs"/>
              <w:b/>
              <w:bCs/>
              <w:noProof w:val="0"/>
              <w:color w:val="000080"/>
              <w:rtl/>
            </w:rPr>
            <w:t xml:space="preserve">ת משפט </w:t>
          </w:r>
          <w:r w:rsidRPr="00577A7A">
            <w:rPr>
              <w:rFonts w:ascii="Tahoma" w:hAnsi="Tahoma" w:cs="Tahoma" w:hint="cs"/>
              <w:b/>
              <w:bCs/>
              <w:noProof w:val="0"/>
              <w:color w:val="000080"/>
              <w:rtl/>
            </w:rPr>
            <w:t>לערעורים אזרחיים</w:t>
          </w:r>
        </w:p>
      </w:tc>
    </w:tr>
    <w:tr w:rsidR="00694556">
      <w:trPr>
        <w:trHeight w:val="337"/>
        <w:jc w:val="center"/>
      </w:trPr>
      <w:tc>
        <w:tcPr>
          <w:tcW w:w="5047" w:type="dxa"/>
        </w:tcPr>
        <w:p w:rsidR="00694556" w:rsidRPr="00577A7A"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234B53" w:rsidP="00234B53">
              <w:pPr>
                <w:pStyle w:val="a3"/>
                <w:jc w:val="right"/>
                <w:rPr>
                  <w:b/>
                  <w:bCs/>
                  <w:noProof w:val="0"/>
                  <w:sz w:val="26"/>
                  <w:szCs w:val="26"/>
                  <w:rtl/>
                </w:rPr>
              </w:pPr>
              <w:r>
                <w:rPr>
                  <w:rFonts w:hint="cs"/>
                  <w:b/>
                  <w:bCs/>
                  <w:noProof w:val="0"/>
                  <w:sz w:val="26"/>
                  <w:szCs w:val="26"/>
                  <w:rtl/>
                </w:rPr>
                <w:t>20 נובמבר 2024</w:t>
              </w:r>
            </w:p>
          </w:tc>
        </w:sdtContent>
      </w:sdt>
    </w:tr>
    <w:tr w:rsidR="00694556">
      <w:trPr>
        <w:trHeight w:val="337"/>
        <w:jc w:val="center"/>
      </w:trPr>
      <w:tc>
        <w:tcPr>
          <w:tcW w:w="8721" w:type="dxa"/>
          <w:gridSpan w:val="2"/>
        </w:tcPr>
        <w:p w:rsidR="00694556" w:rsidRDefault="005A4F2C">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עש"א</w:t>
              </w:r>
            </w:sdtContent>
          </w:sdt>
          <w:r w:rsidR="00005C8B">
            <w:rPr>
              <w:b/>
              <w:bCs/>
              <w:noProof w:val="0"/>
              <w:sz w:val="26"/>
              <w:szCs w:val="26"/>
              <w:rtl/>
            </w:rPr>
            <w:t xml:space="preserve"> </w:t>
          </w:r>
          <w:bookmarkStart w:id="0" w:name="_GoBack"/>
          <w:sdt>
            <w:sdtPr>
              <w:rPr>
                <w:rtl/>
              </w:rPr>
              <w:alias w:val="1171"/>
              <w:tag w:val="1171"/>
              <w:id w:val="-418721140"/>
              <w:text w:multiLine="1"/>
            </w:sdtPr>
            <w:sdtEndPr/>
            <w:sdtContent>
              <w:r w:rsidR="00986101">
                <w:rPr>
                  <w:b/>
                  <w:bCs/>
                  <w:noProof w:val="0"/>
                  <w:sz w:val="26"/>
                  <w:szCs w:val="26"/>
                  <w:rtl/>
                </w:rPr>
                <w:t>31550-09-24</w:t>
              </w:r>
            </w:sdtContent>
          </w:sdt>
          <w:bookmarkEnd w:id="0"/>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פרטוש נ' הסיוע המשפטי - מחוז ירושלים</w:t>
              </w:r>
            </w:sdtContent>
          </w:sdt>
        </w:p>
        <w:p w:rsidR="00694556" w:rsidRDefault="00694556">
          <w:pPr>
            <w:rPr>
              <w:rtl/>
            </w:rPr>
          </w:pPr>
        </w:p>
        <w:p w:rsidR="0034715B" w:rsidRDefault="0034715B">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DB8" w:rsidRDefault="00185DB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536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53656&amp;lt;/CaseID&amp;gt;_x000d__x000a_        &amp;lt;CaseMonth&amp;gt;9&amp;lt;/CaseMonth&amp;gt;_x000d__x000a_        &amp;lt;CaseYear&amp;gt;2024&amp;lt;/CaseYear&amp;gt;_x000d__x000a_        &amp;lt;CaseNumber&amp;gt;31550&amp;lt;/CaseNumber&amp;gt;_x000d__x000a_        &amp;lt;NumeratorGroupID&amp;gt;1&amp;lt;/NumeratorGroupID&amp;gt;_x000d__x000a_        &amp;lt;CaseName&amp;gt;פרטוש נ&amp;#39; הסיוע המשפטי - מחוז ירושלים&amp;lt;/CaseName&amp;gt;_x000d__x000a_        &amp;lt;CourtID&amp;gt;14&amp;lt;/CourtID&amp;gt;_x000d__x000a_        &amp;lt;CaseTypeID&amp;gt;10039&amp;lt;/CaseTypeID&amp;gt;_x000d__x000a_        &amp;lt;CaseInterestID&amp;gt;58&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1550-09-24&amp;lt;/CaseDisplayIdentifier&amp;gt;_x000d__x000a_        &amp;lt;CaseTypeDesc&amp;gt;עש&amp;quot;א&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9-11T13:59:00+03:00&amp;lt;/CaseOpenDate&amp;gt;_x000d__x000a_        &amp;lt;PleaTypeID&amp;gt;6&amp;lt;/PleaTypeID&amp;gt;_x000d__x000a_        &amp;lt;CourtLevelID&amp;gt;2&amp;lt;/CourtLevelID&amp;gt;_x000d__x000a_        &amp;lt;CourtLevelCaseTypeInterestID&amp;gt;1152&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לתשומת לב!!!!!!! המערער הינו כבד שמיעה ונעזר בשירותי מתורגמנית - אסתר בנישו_x000d__x000a_התצהיר על הבקשה לפטור מאגרה , נחתם בסיוע  ובתרגום של המתורגמנית._x000d__x000a_יש להודיע לה על החלטות טלפונית 050-5551776 או במייל שמעודכן esterbenishu@gmail.com._x000d__x000a_רויטל - 11/9/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53656&amp;lt;/CaseID&amp;gt;_x000d__x000a_        &amp;lt;CaseMonth&amp;gt;9&amp;lt;/CaseMonth&amp;gt;_x000d__x000a_        &amp;lt;CaseYear&amp;gt;2024&amp;lt;/CaseYear&amp;gt;_x000d__x000a_        &amp;lt;CaseNumber&amp;gt;31550&amp;lt;/CaseNumber&amp;gt;_x000d__x000a_        &amp;lt;NumeratorGroupID&amp;gt;1&amp;lt;/NumeratorGroupID&amp;gt;_x000d__x000a_        &amp;lt;CaseName&amp;gt;פרטוש נ&amp;#39; הסיוע המשפטי - מחוז ירושלים&amp;lt;/CaseName&amp;gt;_x000d__x000a_        &amp;lt;CourtID&amp;gt;14&amp;lt;/CourtID&amp;gt;_x000d__x000a_        &amp;lt;CaseTypeID&amp;gt;10039&amp;lt;/CaseTypeID&amp;gt;_x000d__x000a_        &amp;lt;CaseInterestID&amp;gt;58&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1550-09-24&amp;lt;/CaseDisplayIdentifier&amp;gt;_x000d__x000a_        &amp;lt;CaseTypeDesc&amp;gt;עש&amp;quot;א&amp;lt;/CaseTypeDesc&amp;gt;_x000d__x000a_        &amp;lt;CourtDesc&amp;gt;המחוזי ירושלים&amp;lt;/CourtDesc&amp;gt;_x000d__x000a_        &amp;lt;CaseStageDesc&amp;gt;תיק אלקטרוני&amp;lt;/CaseStageDesc&amp;gt;_x000d__x000a_        &amp;lt;CaseNextDeterminingTask&amp;gt;151&amp;lt;/CaseNextDeterminingTask&amp;gt;_x000d__x000a_        &amp;lt;CaseOpenDate&amp;gt;2024-09-11T13:59:00+03:00&amp;lt;/CaseOpenDate&amp;gt;_x000d__x000a_        &amp;lt;PleaTypeID&amp;gt;6&amp;lt;/PleaTypeID&amp;gt;_x000d__x000a_        &amp;lt;CourtLevelID&amp;gt;2&amp;lt;/CourtLevelID&amp;gt;_x000d__x000a_        &amp;lt;CourtLevelCaseTypeInterestID&amp;gt;1152&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לתשומת לב!!!!!!! המערער הינו כבד שמיעה ונעזר בשירותי מתורגמנית - אסתר בנישו_x000d__x000a_התצהיר על הבקשה לפטור מאגרה , נחתם בסיוע  ובתרגום של המתורגמנית._x000d__x000a_יש להודיע לה על החלטות טלפונית 050-5551776 או במייל שמעודכן esterbenishu@gmail.com._x000d__x000a_רויטל - 11/9/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122759&amp;lt;/DecisionID&amp;gt;_x000d__x000a_        &amp;lt;DecisionName&amp;gt;פסק דין  שניתנה ע&amp;quot;י  אביגדור דורות&amp;lt;/DecisionName&amp;gt;_x000d__x000a_        &amp;lt;DecisionStatusID&amp;gt;1&amp;lt;/DecisionStatusID&amp;gt;_x000d__x000a_        &amp;lt;DecisionStatusChangeDate&amp;gt;2024-11-20T09:08:42.99+02:00&amp;lt;/DecisionStatusChangeDate&amp;gt;_x000d__x000a_        &amp;lt;DecisionSignatureDate&amp;gt;2024-11-20T09:08:41.59+02:00&amp;lt;/DecisionSignatureDate&amp;gt;_x000d__x000a_        &amp;lt;DecisionSignatureUserID&amp;gt;055121115@GOV.IL&amp;lt;/DecisionSignatureUserID&amp;gt;_x000d__x000a_        &amp;lt;DecisionCreateDate&amp;gt;2024-11-18T12:36:22.47+02:00&amp;lt;/DecisionCreateDate&amp;gt;_x000d__x000a_        &amp;lt;DecisionChangeDate&amp;gt;2024-11-20T09:08:43.637+02:00&amp;lt;/DecisionChangeDate&amp;gt;_x000d__x000a_        &amp;lt;DecisionChangeUserID&amp;gt;04303786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97114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6784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6122759&amp;lt;/DecisionID&amp;gt;_x000d__x000a_        &amp;lt;CaseID&amp;gt;81953656&amp;lt;/CaseID&amp;gt;_x000d__x000a_        &amp;lt;IsOriginal&amp;gt;true&amp;lt;/IsOriginal&amp;gt;_x000d__x000a_        &amp;lt;IsDeleted&amp;gt;false&amp;lt;/IsDeleted&amp;gt;_x000d__x000a_        &amp;lt;CaseName&amp;gt;פרטוש נ&amp;#39; הסיוע המשפטי - מחוז ירושלים&amp;lt;/CaseName&amp;gt;_x000d__x000a_        &amp;lt;CaseDisplayIdentifier&amp;gt;31550-09-24 עש&amp;quot;א&amp;lt;/CaseDisplayIdentifier&amp;gt;_x000d__x000a_      &amp;lt;/dt_DecisionCase&amp;gt;_x000d__x000a_    &amp;lt;/DecisionDS&amp;gt;_x000d__x000a_  &amp;lt;/diffgr:diffgram&amp;gt;_x000d__x000a_&amp;lt;/DecisionDS&amp;gt;"/>
    <w:docVar w:name="DecisionID" w:val="156122759"/>
    <w:docVar w:name="WordClientAssemblyName" w:val="NGCS.Decision.ClientWordBL"/>
    <w:docVar w:name="WordClientClassName" w:val="NGCS.Decision.ClientWordBL.DecisionClient"/>
  </w:docVars>
  <w:rsids>
    <w:rsidRoot w:val="00694556"/>
    <w:rsid w:val="00005C8B"/>
    <w:rsid w:val="00016C35"/>
    <w:rsid w:val="000564AB"/>
    <w:rsid w:val="00060C9D"/>
    <w:rsid w:val="0014234E"/>
    <w:rsid w:val="00183FF9"/>
    <w:rsid w:val="00184F55"/>
    <w:rsid w:val="00185DB8"/>
    <w:rsid w:val="001C4003"/>
    <w:rsid w:val="001D4F05"/>
    <w:rsid w:val="001D59C2"/>
    <w:rsid w:val="00234B53"/>
    <w:rsid w:val="002879F2"/>
    <w:rsid w:val="002C070D"/>
    <w:rsid w:val="002D4A5A"/>
    <w:rsid w:val="003172EC"/>
    <w:rsid w:val="003360AB"/>
    <w:rsid w:val="0034715B"/>
    <w:rsid w:val="003944DB"/>
    <w:rsid w:val="00494063"/>
    <w:rsid w:val="004E6E3C"/>
    <w:rsid w:val="00547DB7"/>
    <w:rsid w:val="00577A7A"/>
    <w:rsid w:val="005A331B"/>
    <w:rsid w:val="005A4F2C"/>
    <w:rsid w:val="00622BAA"/>
    <w:rsid w:val="00625C89"/>
    <w:rsid w:val="00671BD5"/>
    <w:rsid w:val="006805C1"/>
    <w:rsid w:val="00694556"/>
    <w:rsid w:val="006B23BF"/>
    <w:rsid w:val="006B2651"/>
    <w:rsid w:val="006C2AB8"/>
    <w:rsid w:val="006E1A53"/>
    <w:rsid w:val="007056AA"/>
    <w:rsid w:val="007754CA"/>
    <w:rsid w:val="007A24FE"/>
    <w:rsid w:val="00820005"/>
    <w:rsid w:val="00846D27"/>
    <w:rsid w:val="008A0611"/>
    <w:rsid w:val="00903896"/>
    <w:rsid w:val="00910591"/>
    <w:rsid w:val="00986101"/>
    <w:rsid w:val="00AF1ED6"/>
    <w:rsid w:val="00B80CBD"/>
    <w:rsid w:val="00C8528F"/>
    <w:rsid w:val="00D53924"/>
    <w:rsid w:val="00D75FC1"/>
    <w:rsid w:val="00D96D8C"/>
    <w:rsid w:val="00DE5D82"/>
    <w:rsid w:val="00E54642"/>
    <w:rsid w:val="00E97908"/>
    <w:rsid w:val="00F64BC8"/>
    <w:rsid w:val="00F7431D"/>
    <w:rsid w:val="00FD419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8D2024-2F45-4285-85FF-8657CA75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6C2A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81953656</CaseID>
    <CaseJudicialPersonPresentationDS>
      <CaseJudicalPersonActive>
        <CaseID>81953656</CaseID>
        <JudicialPersonID>055121115@GOV.IL</JudicialPersonID>
        <JudicialPersonTypeID>1</JudicialPersonTypeID>
        <JudicialTypeID>1</JudicialTypeID>
        <IsChairman>false</IsChairman>
        <TreatmentStartDate>2024-10-14T08:09:25.04+03:00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יהודה פרטוש</FullName>
        <FirstName>יהודה</FirstName>
        <LastName>פרטוש</LastName>
        <PartyPropertyName/>
        <AuthenticationTypeAndNumber>ת"ז 311835946</AuthenticationTypeAndNumber>
        <RepresentatedOrRepresentativesNames/>
        <RepresentatedOrRepresentativesCount>0</RepresentatedOrRepresentativesCount>
        <InvitedBy/>
        <CaseID>81953656</CaseID>
        <CaseJudicialPersonPresentationDS>
          <CaseJudicalPersonActive>
            <CaseID>81953656</CaseID>
            <JudicialPersonID>055121115@GOV.IL</JudicialPersonID>
            <JudicialPersonTypeID>1</JudicialPersonTypeID>
            <JudicialTypeID>1</JudicialTypeID>
            <IsChairman>false</IsChairman>
            <TreatmentStartDate>2024-10-14T08:09:25.04+03:00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277342102</CasePartyID>
        <PartyTypeID>1</PartyTypeID>
        <ActivityStatusID>1</ActivityStatusID>
        <PartyAliasID>5</PartyAliasID>
        <PartyAliasName>מערער</PartyAliasName>
        <OrdinalNumber>1</OrdinalNumber>
        <LegalEntityID>46382484</LegalEntityID>
        <CaseLegalEntityID>132223418</CaseLegalEntityID>
        <AuthenticationTypeID>1</AuthenticationTypeID>
        <AuthenticationTypeName>ת"ז</AuthenticationTypeName>
        <LegalEntityNumber>311835946</LegalEntityNumber>
        <IsMainPartyType>true</IsMainPartyType>
        <CaseDisplayIdentifier>31550-09-24</CaseDisplayIdentifier>
        <CaseTypeID>10039</CaseTypeID>
        <CaseTypeName>ערעור שונה - אזרחי (עש"א)</CaseTypeName>
        <CaseName>פרטוש נ' הסיוע המשפטי - מחוז ירושלים</CaseName>
        <FullAddress>כוכב ישראל 20/2 כוכב יעקב </FullAddress>
        <EmailAddress>esterbenishu@gmail.com</EmailAddress>
        <MotionID>0</MotionID>
        <CasePleaID>0</CasePleaID>
        <BirthDate>1963-07-03T00:00:00+03:00</BirthDate>
        <FatherName>דוד</FatherName>
        <LinkedCaseID>0</LinkedCaseID>
        <PartyID>1</PartyID>
        <CasePartyCategoryID>2</CasePartyCategoryID>
        <LegalEntityAddressID>90941465</LegalEntityAddressID>
        <LegalEntityEmailAddressID>68429821</LegalEntityEmailAddressID>
        <PleaTypeID>6</PleaTypeID>
        <GroupPartyAlias>מערערים</GroupPartyAlias>
        <IsConverted>false</IsConverted>
        <LegalEntityRegisteredNameID>9023150</LegalEntityRegisteredNameID>
        <LegalEntityNameID>98198729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פרטוש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81953656</CaseID>
        <CaseJudicialPersonPresentationDS>
          <CaseJudicalPersonActive>
            <CaseID>81953656</CaseID>
            <JudicialPersonID>055121115@GOV.IL</JudicialPersonID>
            <JudicialPersonTypeID>1</JudicialPersonTypeID>
            <JudicialTypeID>1</JudicialTypeID>
            <IsChairman>false</IsChairman>
            <TreatmentStartDate>2024-10-14T08:09:25.04+03:00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277342103</CasePartyID>
        <PartyTypeID>1</PartyTypeID>
        <ActivityStatusID>1</ActivityStatusID>
        <PartyAliasID>4</PartyAliasID>
        <PartyAliasName>משיב</PartyAliasName>
        <OrdinalNumber>1</OrdinalNumber>
        <LegalEntityID>15868479</LegalEntityID>
        <CaseLegalEntityID>132223419</CaseLegalEntityID>
        <AuthenticationTypeID>17</AuthenticationTypeID>
        <AuthenticationTypeName>גופים על פי דין</AuthenticationTypeName>
        <LegalEntityNumber>513436330</LegalEntityNumber>
        <IsMainPartyType>true</IsMainPartyType>
        <CaseDisplayIdentifier>31550-09-24</CaseDisplayIdentifier>
        <CaseTypeID>10039</CaseTypeID>
        <CaseTypeName>ערעור שונה - אזרחי (עש"א)</CaseTypeName>
        <CaseName>פרטוש נ' הסיוע המשפטי - מחוז ירושלים</CaseName>
        <FullAddress>הסורג 1 ירושלים בית מצפה קומה 2</FullAddress>
        <MotionID>0</MotionID>
        <CasePleaID>0</CasePleaID>
        <LinkedCaseID>0</LinkedCaseID>
        <PartyID>2</PartyID>
        <CasePartyCategoryID>2</CasePartyCategoryID>
        <LegalEntityAddressID>83024330</LegalEntityAddressID>
        <PleaTypeID>6</PleaTypeID>
        <GroupPartyAlias>משיבים</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81953656</CaseID>
        <CaseJudicialPersonPresentationDS>
          <CaseJudicalPersonActive>
            <CaseID>81953656</CaseID>
            <JudicialPersonID>055121115@GOV.IL</JudicialPersonID>
            <JudicialPersonTypeID>1</JudicialPersonTypeID>
            <JudicialTypeID>1</JudicialTypeID>
            <IsChairman>false</IsChairman>
            <TreatmentStartDate>2024-10-14T08:09:25.04+03:00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277342107</CasePartyID>
        <PartyTypeID>2</PartyTypeID>
        <ActivityStatusID>1</ActivityStatusID>
        <PartyAliasID>23</PartyAliasID>
        <PartyAliasName>בא כוח משיבים</PartyAliasName>
        <OrdinalNumber>1</OrdinalNumber>
        <LegalEntityID>401563</LegalEntityID>
        <CaseLegalEntityID>132223421</CaseLegalEntityID>
        <AuthenticationTypeID>4</AuthenticationTypeID>
        <AuthenticationTypeName>מ.ר.</AuthenticationTypeName>
        <LegalEntityNumber>23388</LegalEntityNumber>
        <IsMainPartyType>true</IsMainPartyType>
        <CaseDisplayIdentifier>31550-09-24</CaseDisplayIdentifier>
        <CaseTypeID>10039</CaseTypeID>
        <CaseTypeName>ערעור שונה - אזרחי (עש"א)</CaseTypeName>
        <CaseName>פרטוש נ' הסיוע המשפטי - מחוז ירושלים</CaseName>
        <FullAddress>מח"ל 7 ירושלים </FullAddress>
        <EmailAddress>Ez-jer@justice.gov.il</EmailAddress>
        <MotionID>0</MotionID>
        <CasePleaID>0</CasePleaID>
        <BirthDate>1959-12-08T00:00:00+02:00</BirthDate>
        <FatherName xml:space="preserve">        </FatherName>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2024-11-18T12:30:49.9702315+02:00</DecisionSignatureDate>
    <OpenCaseDate>2024-09-11T13:59:00+03:00</OpenCaseDate>
    <CaseFeeSum>0.000</CaseFeeSum>
    <DecisionTypeID>2</DecisionTypeID>
    <DecisionSignatureUserName>אביגדור דורות</DecisionSignatureUserName>
    <DecisionSignatureDateHebrew>2024-11-18T12:30:49.9702315+02:00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פרטוש נ' הסיוע המשפטי - מחוז ירושלים</CaseName>
    <DecisionNumberInCase>6</DecisionNumberInCase>
  </dt_Decision>
  <dt_DecisionCase>
    <DecisionID>0</DecisionID>
    <CaseID>81953656</CaseID>
    <CaseJudicialPersonPresentationDS>
      <CaseJudicalPersonActive>
        <CaseID>81953656</CaseID>
        <JudicialPersonID>055121115@GOV.IL</JudicialPersonID>
        <JudicialPersonTypeID>1</JudicialPersonTypeID>
        <JudicialTypeID>1</JudicialTypeID>
        <IsChairman>false</IsChairman>
        <TreatmentStartDate>2024-10-14T08:09:25.04+03:00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יהודה פרטוש</FullName>
        <FirstName>יהודה</FirstName>
        <LastName>פרטוש</LastName>
        <PartyPropertyName/>
        <AuthenticationTypeAndNumber>ת"ז 311835946</AuthenticationTypeAndNumber>
        <RepresentatedOrRepresentativesNames/>
        <RepresentatedOrRepresentativesCount>0</RepresentatedOrRepresentativesCount>
        <InvitedBy/>
        <CaseID>81953656</CaseID>
        <CaseJudicialPersonPresentationDS>
          <CaseJudicalPersonActive>
            <CaseID>81953656</CaseID>
            <JudicialPersonID>055121115@GOV.IL</JudicialPersonID>
            <JudicialPersonTypeID>1</JudicialPersonTypeID>
            <JudicialTypeID>1</JudicialTypeID>
            <IsChairman>false</IsChairman>
            <TreatmentStartDate>2024-10-14T08:09:25.04+03:00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277342102</CasePartyID>
        <PartyTypeID>1</PartyTypeID>
        <ActivityStatusID>1</ActivityStatusID>
        <PartyAliasID>5</PartyAliasID>
        <PartyAliasName>מערער</PartyAliasName>
        <OrdinalNumber>1</OrdinalNumber>
        <LegalEntityID>46382484</LegalEntityID>
        <CaseLegalEntityID>132223418</CaseLegalEntityID>
        <AuthenticationTypeID>1</AuthenticationTypeID>
        <AuthenticationTypeName>ת"ז</AuthenticationTypeName>
        <LegalEntityNumber>311835946</LegalEntityNumber>
        <IsMainPartyType>true</IsMainPartyType>
        <CaseDisplayIdentifier>31550-09-24</CaseDisplayIdentifier>
        <CaseTypeID>10039</CaseTypeID>
        <CaseTypeName>ערעור שונה - אזרחי (עש"א)</CaseTypeName>
        <CaseName>פרטוש נ' הסיוע המשפטי - מחוז ירושלים</CaseName>
        <FullAddress>כוכב ישראל 20/2 כוכב יעקב </FullAddress>
        <EmailAddress>esterbenishu@gmail.com</EmailAddress>
        <MotionID>0</MotionID>
        <CasePleaID>0</CasePleaID>
        <BirthDate>1963-07-03T00:00:00+03:00</BirthDate>
        <FatherName>דוד</FatherName>
        <LinkedCaseID>0</LinkedCaseID>
        <PartyID>1</PartyID>
        <CasePartyCategoryID>2</CasePartyCategoryID>
        <LegalEntityAddressID>90941465</LegalEntityAddressID>
        <LegalEntityEmailAddressID>68429821</LegalEntityEmailAddressID>
        <PleaTypeID>6</PleaTypeID>
        <GroupPartyAlias>מערערים</GroupPartyAlias>
        <IsConverted>false</IsConverted>
        <LegalEntityRegisteredNameID>9023150</LegalEntityRegisteredNameID>
        <LegalEntityNameID>98198729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פרטוש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81953656</CaseID>
        <CaseJudicialPersonPresentationDS>
          <CaseJudicalPersonActive>
            <CaseID>81953656</CaseID>
            <JudicialPersonID>055121115@GOV.IL</JudicialPersonID>
            <JudicialPersonTypeID>1</JudicialPersonTypeID>
            <JudicialTypeID>1</JudicialTypeID>
            <IsChairman>false</IsChairman>
            <TreatmentStartDate>2024-10-14T08:09:25.04+03:00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277342103</CasePartyID>
        <PartyTypeID>1</PartyTypeID>
        <ActivityStatusID>1</ActivityStatusID>
        <PartyAliasID>4</PartyAliasID>
        <PartyAliasName>משיב</PartyAliasName>
        <OrdinalNumber>1</OrdinalNumber>
        <LegalEntityID>15868479</LegalEntityID>
        <CaseLegalEntityID>132223419</CaseLegalEntityID>
        <AuthenticationTypeID>17</AuthenticationTypeID>
        <AuthenticationTypeName>גופים על פי דין</AuthenticationTypeName>
        <LegalEntityNumber>513436330</LegalEntityNumber>
        <IsMainPartyType>true</IsMainPartyType>
        <CaseDisplayIdentifier>31550-09-24</CaseDisplayIdentifier>
        <CaseTypeID>10039</CaseTypeID>
        <CaseTypeName>ערעור שונה - אזרחי (עש"א)</CaseTypeName>
        <CaseName>פרטוש נ' הסיוע המשפטי - מחוז ירושלים</CaseName>
        <FullAddress>הסורג 1 ירושלים בית מצפה קומה 2</FullAddress>
        <MotionID>0</MotionID>
        <CasePleaID>0</CasePleaID>
        <LinkedCaseID>0</LinkedCaseID>
        <PartyID>2</PartyID>
        <CasePartyCategoryID>2</CasePartyCategoryID>
        <LegalEntityAddressID>83024330</LegalEntityAddressID>
        <PleaTypeID>6</PleaTypeID>
        <GroupPartyAlias>משיבים</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81953656</CaseID>
        <CaseJudicialPersonPresentationDS>
          <CaseJudicalPersonActive>
            <CaseID>81953656</CaseID>
            <JudicialPersonID>055121115@GOV.IL</JudicialPersonID>
            <JudicialPersonTypeID>1</JudicialPersonTypeID>
            <JudicialTypeID>1</JudicialTypeID>
            <IsChairman>false</IsChairman>
            <TreatmentStartDate>2024-10-14T08:09:25.04+03:00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277342107</CasePartyID>
        <PartyTypeID>2</PartyTypeID>
        <ActivityStatusID>1</ActivityStatusID>
        <PartyAliasID>23</PartyAliasID>
        <PartyAliasName>בא כוח משיבים</PartyAliasName>
        <OrdinalNumber>1</OrdinalNumber>
        <LegalEntityID>401563</LegalEntityID>
        <CaseLegalEntityID>132223421</CaseLegalEntityID>
        <AuthenticationTypeID>4</AuthenticationTypeID>
        <AuthenticationTypeName>מ.ר.</AuthenticationTypeName>
        <LegalEntityNumber>23388</LegalEntityNumber>
        <IsMainPartyType>true</IsMainPartyType>
        <CaseDisplayIdentifier>31550-09-24</CaseDisplayIdentifier>
        <CaseTypeID>10039</CaseTypeID>
        <CaseTypeName>ערעור שונה - אזרחי (עש"א)</CaseTypeName>
        <CaseName>פרטוש נ' הסיוע המשפטי - מחוז ירושלים</CaseName>
        <FullAddress>מח"ל 7 ירושלים </FullAddress>
        <EmailAddress>Ez-jer@justice.gov.il</EmailAddress>
        <MotionID>0</MotionID>
        <CasePleaID>0</CasePleaID>
        <BirthDate>1959-12-08T00:00:00+02:00</BirthDate>
        <FatherName xml:space="preserve">        </FatherName>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CaseName>פרטוש נ' הסיוע המשפטי - מחוז ירושלים</CaseName>
    <CaseDisplayIdentifier>31550-09-24</CaseDisplayIdentifier>
    <CaseInterestID>58</CaseInterestID>
    <CaseTypeShortName>עש"א</CaseTypeShortName>
  </dt_DecisionCase>
  <dt_DecisionJudgePanel>
    <JudgeID>055121115@GOV.IL</JudgeID>
    <DisplayName>אביגדור דורות</DisplayName>
    <RoleName>שופט</RoleName>
    <UserTitleName>שופט</UserTitleName>
  </dt_DecisionJudgePanel>
  <dt_LegalEntityDetails>
    <PartyID>1</PartyID>
    <PartyTypeID>1</PartyTypeID>
    <DecisionID>0</DecisionID>
    <StreetName>כוכב ישראל 20/2</StreetName>
    <CityName>כוכב יעקב</CityName>
    <FullName>יהודה  פרטוש</FullName>
    <Email>esterbenishu@gmail.com</Email>
    <IsPublicationProhibited>false</IsPublicationProhibited>
  </dt_LegalEntityDetails>
  <dt_LegalEntityDetails>
    <Fax>02-6467078</Fax>
    <Phone>073-3926247</Phone>
    <AddressDesc>בית מצפה קומה 2</AddressDesc>
    <PartyID>2</PartyID>
    <PartyTypeID>1</PartyTypeID>
    <DecisionID>0</DecisionID>
    <StreetName>הסורג 1 </StreetName>
    <CityName>ירושלים</CityName>
    <FullName> הסיוע המשפטי - מחוז ירושלים</FullName>
    <Email>etico@justice.gov.il</Email>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שופט אביגדור דורות</CaseJudicalPerson>
  </dt_CaseJudicalPersonActive>
  <dt_Sitting>
    <PreviousMeetingDate>2024-11-14T10:30:00+02:00</PreviousMeetingDate>
    <PreviousSittingTypeID>5</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E402948C-A94F-4DE2-B12A-4F85EFC1B2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1395</Words>
  <Characters>6975</Characters>
  <Application>Microsoft Office Word</Application>
  <DocSecurity>0</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2024-11-19T07:49:00Z</cp:lastPrinted>
  <dcterms:created xsi:type="dcterms:W3CDTF">2024-11-21T07:42:00Z</dcterms:created>
  <dcterms:modified xsi:type="dcterms:W3CDTF">2024-11-21T07:42:00Z</dcterms:modified>
</cp:coreProperties>
</file>